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7"/>
        <w:jc w:val="center"/>
        <w:widowControl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МАСЛЯНИНСКОГО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center"/>
        <w:widowControl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center"/>
        <w:widowControl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center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center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7"/>
        <w:jc w:val="center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887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20.06.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2025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№ 730-па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78"/>
        <w:ind w:firstLine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О внесении изменений в постановление </w:t>
      </w:r>
      <w:r>
        <w:rPr>
          <w:bCs/>
          <w:sz w:val="28"/>
          <w:szCs w:val="28"/>
          <w:lang w:eastAsia="en-US"/>
        </w:rPr>
        <w:t xml:space="preserve">администраци</w:t>
      </w:r>
      <w:r>
        <w:rPr>
          <w:bCs/>
          <w:sz w:val="28"/>
          <w:szCs w:val="28"/>
          <w:lang w:eastAsia="en-US"/>
        </w:rPr>
        <w:t xml:space="preserve">и</w:t>
      </w:r>
      <w:r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 xml:space="preserve">Маслянинского муниципального округа</w:t>
      </w:r>
      <w:r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 xml:space="preserve">Н</w:t>
      </w:r>
      <w:r>
        <w:rPr>
          <w:bCs/>
          <w:sz w:val="28"/>
          <w:szCs w:val="28"/>
          <w:lang w:eastAsia="en-US"/>
        </w:rPr>
        <w:t xml:space="preserve">овосибирской области</w:t>
      </w:r>
      <w:r>
        <w:rPr>
          <w:bCs/>
          <w:sz w:val="28"/>
          <w:szCs w:val="28"/>
          <w:lang w:eastAsia="en-US"/>
        </w:rPr>
        <w:t xml:space="preserve"> от 23.12.2024 года № 9-па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«Переселение граждан из аварийного жилищного фонда в Маслянинском муниципальном округе Новосибирской области на 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-203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годы»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ind w:firstLine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8"/>
        <w:spacing w:line="240" w:lineRule="auto"/>
        <w:rPr>
          <w:szCs w:val="28"/>
        </w:rPr>
      </w:pPr>
      <w: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21.07.2007 № 185-ФЗ «О Фон</w:t>
      </w:r>
      <w:r>
        <w:t xml:space="preserve">де содействия реформированию жилищно-коммунального хозяйства», постановлением Правительства Новосибирской области от 16.02.2015 № 66-п «Об утверждении государственной программы Новосибирской области «Жилищно-коммунальное хозяйство Новосибирской области»», </w:t>
      </w:r>
      <w:r>
        <w:rPr>
          <w:szCs w:val="28"/>
        </w:rPr>
        <w:t xml:space="preserve">администрация Маслянинского муниципального округа Новосибирской области</w:t>
      </w:r>
      <w:r>
        <w:rPr>
          <w:szCs w:val="28"/>
        </w:rPr>
      </w:r>
      <w:r>
        <w:rPr>
          <w:szCs w:val="28"/>
        </w:rPr>
      </w:r>
    </w:p>
    <w:p>
      <w:pPr>
        <w:pStyle w:val="878"/>
        <w:ind w:firstLine="0"/>
        <w:spacing w:line="240" w:lineRule="auto"/>
        <w:rPr>
          <w:szCs w:val="28"/>
        </w:rPr>
      </w:pPr>
      <w:r>
        <w:rPr>
          <w:szCs w:val="28"/>
        </w:rPr>
        <w:t xml:space="preserve">          </w:t>
      </w:r>
      <w:r>
        <w:rPr>
          <w:szCs w:val="28"/>
        </w:rPr>
        <w:t xml:space="preserve">ПОСТАНОВЛЯЕТ</w:t>
      </w:r>
      <w:r>
        <w:rPr>
          <w:szCs w:val="28"/>
        </w:rPr>
        <w:t xml:space="preserve">:</w:t>
      </w:r>
      <w:r>
        <w:rPr>
          <w:szCs w:val="28"/>
        </w:rPr>
      </w:r>
      <w:r>
        <w:rPr>
          <w:szCs w:val="28"/>
        </w:rPr>
      </w:r>
    </w:p>
    <w:p>
      <w:pPr>
        <w:pStyle w:val="878"/>
        <w:numPr>
          <w:ilvl w:val="0"/>
          <w:numId w:val="8"/>
        </w:numPr>
        <w:ind w:left="0" w:firstLine="709"/>
        <w:spacing w:line="240" w:lineRule="auto"/>
        <w:rPr>
          <w:szCs w:val="28"/>
        </w:rPr>
      </w:pPr>
      <w:r>
        <w:rPr>
          <w:szCs w:val="28"/>
        </w:rPr>
        <w:t xml:space="preserve">М</w:t>
      </w:r>
      <w:r>
        <w:rPr>
          <w:szCs w:val="28"/>
        </w:rPr>
        <w:t xml:space="preserve">униципальную </w:t>
      </w:r>
      <w:hyperlink r:id="rId11" w:tooltip="consultantplus://offline/ref=15477D0DE2D6A2F5F31F77CFA6645BC11F72A22D8357AAD0EC34A8F01B06A8F3FEAC534C49296427575763I7B8K" w:history="1">
        <w:r>
          <w:rPr>
            <w:szCs w:val="28"/>
          </w:rPr>
          <w:t xml:space="preserve">программу</w:t>
        </w:r>
      </w:hyperlink>
      <w:r>
        <w:rPr>
          <w:szCs w:val="28"/>
        </w:rPr>
        <w:t xml:space="preserve"> «Переселение граждан из аварийного жилищного фонда в Маслянинском муниципальном округе Новосибирской области на 202</w:t>
      </w:r>
      <w:r>
        <w:rPr>
          <w:szCs w:val="28"/>
        </w:rPr>
        <w:t xml:space="preserve">5</w:t>
      </w:r>
      <w:r>
        <w:rPr>
          <w:szCs w:val="28"/>
        </w:rPr>
        <w:t xml:space="preserve">– 203</w:t>
      </w:r>
      <w:r>
        <w:rPr>
          <w:szCs w:val="28"/>
        </w:rPr>
        <w:t xml:space="preserve">2</w:t>
      </w:r>
      <w:r>
        <w:rPr>
          <w:szCs w:val="28"/>
        </w:rPr>
        <w:t xml:space="preserve"> годы»</w:t>
      </w:r>
      <w:r>
        <w:rPr>
          <w:szCs w:val="28"/>
        </w:rPr>
        <w:t xml:space="preserve">, утвержденную постановлением администрации </w:t>
      </w:r>
      <w:r>
        <w:rPr>
          <w:szCs w:val="28"/>
        </w:rPr>
        <w:t xml:space="preserve">Маслянинского</w:t>
      </w:r>
      <w:r>
        <w:rPr>
          <w:szCs w:val="28"/>
        </w:rPr>
        <w:t xml:space="preserve"> муниципального округа Новосибирской области от 23.12.2024 № 9-па изложить  в редакции</w:t>
      </w:r>
      <w:r>
        <w:rPr>
          <w:szCs w:val="28"/>
        </w:rPr>
        <w:t xml:space="preserve"> согласно приложению к настоящему постановлению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78"/>
        <w:numPr>
          <w:ilvl w:val="0"/>
          <w:numId w:val="8"/>
        </w:numPr>
        <w:ind w:left="0" w:firstLine="709"/>
        <w:spacing w:line="240" w:lineRule="auto"/>
        <w:rPr>
          <w:szCs w:val="28"/>
        </w:rPr>
      </w:pPr>
      <w:r>
        <w:rPr>
          <w:szCs w:val="28"/>
        </w:rPr>
        <w:t xml:space="preserve">Контроль за исполнением настоящего постановления возложить на заместителя главы администрации Маслянинского </w:t>
      </w:r>
      <w:r>
        <w:rPr>
          <w:szCs w:val="28"/>
        </w:rPr>
        <w:t xml:space="preserve">муниципального округа</w:t>
      </w:r>
      <w:r>
        <w:rPr>
          <w:szCs w:val="28"/>
        </w:rPr>
        <w:t xml:space="preserve"> Новосибирской области по строительству А.С. Быстрова.</w:t>
      </w:r>
      <w:r>
        <w:rPr>
          <w:szCs w:val="28"/>
        </w:rPr>
      </w:r>
      <w:r>
        <w:rPr>
          <w:szCs w:val="28"/>
        </w:rPr>
      </w:r>
    </w:p>
    <w:p>
      <w:pPr>
        <w:pStyle w:val="878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78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color w:val="000000"/>
          <w:spacing w:val="2"/>
        </w:rPr>
      </w:pPr>
      <w:r>
        <w:rPr>
          <w:sz w:val="28"/>
          <w:szCs w:val="28"/>
        </w:rPr>
      </w:r>
      <w:permStart w:displacedbyCustomXml="next" w:edGrp="everyone" w:id="undefined"/>
      <w:r>
        <w:rPr>
          <w:color w:val="000000"/>
          <w:spacing w:val="2"/>
          <w:sz w:val="28"/>
          <w:szCs w:val="28"/>
        </w:rPr>
        <w:t xml:space="preserve">И.о. Главы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</w:rPr>
      </w:r>
      <w:r>
        <w:rPr>
          <w:color w:val="000000"/>
          <w:spacing w:val="2"/>
        </w:rPr>
      </w:r>
    </w:p>
    <w:p>
      <w:pPr>
        <w:rPr>
          <w:color w:val="000000"/>
          <w:spacing w:val="2"/>
        </w:rPr>
      </w:pPr>
      <w:r>
        <w:rPr>
          <w:color w:val="000000"/>
          <w:spacing w:val="2"/>
          <w:sz w:val="28"/>
          <w:szCs w:val="28"/>
        </w:rPr>
        <w:t xml:space="preserve">Маслянинского муниципального округа</w:t>
      </w:r>
      <w:r>
        <w:rPr>
          <w:color w:val="000000"/>
          <w:spacing w:val="2"/>
        </w:rPr>
      </w:r>
      <w:r>
        <w:rPr>
          <w:color w:val="000000"/>
          <w:spacing w:val="2"/>
        </w:rPr>
      </w:r>
    </w:p>
    <w:p>
      <w:pPr>
        <w:jc w:val="both"/>
        <w:tabs>
          <w:tab w:val="left" w:pos="7655" w:leader="none"/>
        </w:tabs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Новосибирской области                                                                </w:t>
      </w:r>
      <w:r>
        <w:rPr>
          <w:color w:val="000000"/>
          <w:spacing w:val="2"/>
          <w:sz w:val="28"/>
          <w:szCs w:val="28"/>
        </w:rPr>
        <w:tab/>
        <w:t xml:space="preserve">А.С. Смердов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Быстров А.С.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21768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3"/>
        <w:ind w:firstLine="0"/>
        <w:widowControl/>
      </w:pPr>
      <w:r>
        <w:rPr>
          <w:rFonts w:ascii="Times New Roman" w:hAnsi="Times New Roman" w:cs="Times New Roman"/>
        </w:rPr>
        <w:t xml:space="preserve">Мохова Ю.В</w:t>
      </w:r>
      <w:r>
        <w:rPr>
          <w:rFonts w:ascii="Times New Roman" w:hAnsi="Times New Roman" w:cs="Times New Roman"/>
        </w:rPr>
        <w:t xml:space="preserve">., 22</w:t>
      </w:r>
      <w:r>
        <w:rPr>
          <w:rFonts w:ascii="Times New Roman" w:hAnsi="Times New Roman" w:cs="Times New Roman"/>
        </w:rPr>
        <w:t xml:space="preserve">245</w:t>
      </w:r>
      <w:r/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№1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Маслянинского муниципального округа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20.06.2025г. № 730-па</w:t>
      </w:r>
      <w:r>
        <w:rPr>
          <w:sz w:val="28"/>
          <w:szCs w:val="28"/>
        </w:rPr>
      </w:r>
    </w:p>
    <w:p>
      <w:pPr>
        <w:pStyle w:val="883"/>
        <w:ind w:hanging="142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Муниципальная адресная программа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переселению граждан из аварийного жилищного фонда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Маслянинском муниципальном округе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0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202</w:t>
      </w:r>
      <w:r>
        <w:rPr>
          <w:rFonts w:ascii="Times New Roman" w:hAnsi="Times New Roman" w:cs="Times New Roman"/>
          <w:b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>
        <w:rPr>
          <w:rFonts w:ascii="Times New Roman" w:hAnsi="Times New Roman" w:cs="Times New Roman"/>
          <w:b/>
          <w:sz w:val="28"/>
          <w:szCs w:val="28"/>
        </w:rPr>
        <w:t xml:space="preserve">3</w:t>
      </w:r>
      <w:r>
        <w:rPr>
          <w:rFonts w:ascii="Times New Roman" w:hAnsi="Times New Roman" w:cs="Times New Roman"/>
          <w:b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ind w:firstLine="540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83"/>
        <w:numPr>
          <w:ilvl w:val="0"/>
          <w:numId w:val="7"/>
        </w:numPr>
        <w:ind w:left="0" w:firstLine="0"/>
        <w:jc w:val="center"/>
        <w:tabs>
          <w:tab w:val="left" w:pos="709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адресной программы по переселению граждан из аварийного жилищного фонда в Маслянинском муниципальном округе Новосибирской области на 202</w:t>
      </w:r>
      <w:r>
        <w:rPr>
          <w:rFonts w:ascii="Times New Roman" w:hAnsi="Times New Roman" w:cs="Times New Roman"/>
          <w:b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203</w:t>
      </w:r>
      <w:r>
        <w:rPr>
          <w:rFonts w:ascii="Times New Roman" w:hAnsi="Times New Roman" w:cs="Times New Roman"/>
          <w:b/>
          <w:sz w:val="28"/>
          <w:szCs w:val="28"/>
        </w:rPr>
        <w:t xml:space="preserve"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(далее –</w:t>
      </w: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sz w:val="28"/>
          <w:szCs w:val="28"/>
        </w:rPr>
        <w:t xml:space="preserve">рограмма)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3"/>
        <w:ind w:left="36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4887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3559"/>
        <w:gridCol w:w="1007"/>
        <w:gridCol w:w="1726"/>
        <w:gridCol w:w="1726"/>
        <w:gridCol w:w="1753"/>
      </w:tblGrid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Наименование муниципальной  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«Переселение граждан из аварийного жилищного фонда в Маслянинском муниципальном округе Новосибирской области на 202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– 203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годы»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Основание для разработки </w:t>
            </w:r>
            <w:r>
              <w:rPr>
                <w:sz w:val="28"/>
                <w:szCs w:val="28"/>
              </w:rPr>
              <w:t xml:space="preserve">муниципальной п</w:t>
            </w:r>
            <w:r>
              <w:rPr>
                <w:sz w:val="28"/>
                <w:szCs w:val="28"/>
              </w:rPr>
              <w:t xml:space="preserve">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Правительства Новосибирской области от 16.02.2015 № 66-п «Об утверждении государственной программы Новосибирской области «Жилищно-коммунальное хозяйство Новосибирской области»»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Заказчик </w:t>
            </w:r>
            <w:r>
              <w:rPr>
                <w:sz w:val="28"/>
                <w:szCs w:val="28"/>
              </w:rPr>
              <w:t xml:space="preserve">муниципальной пр</w:t>
            </w:r>
            <w:r>
              <w:rPr>
                <w:sz w:val="28"/>
                <w:szCs w:val="28"/>
              </w:rPr>
              <w:t xml:space="preserve">ограммы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Маслянинского муниципального округа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Разработчики </w:t>
            </w:r>
            <w:r>
              <w:rPr>
                <w:sz w:val="28"/>
                <w:szCs w:val="28"/>
              </w:rPr>
              <w:t xml:space="preserve">муниципальной п</w:t>
            </w:r>
            <w:r>
              <w:rPr>
                <w:sz w:val="28"/>
                <w:szCs w:val="28"/>
              </w:rPr>
              <w:t xml:space="preserve">рограммы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pStyle w:val="889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Управление архитектуры, строительства, транспорта и 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Маслянинского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r>
          </w:p>
        </w:tc>
      </w:tr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Цели, задачи муниципальной  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Цели: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1. Обеспечение благоустроенными жилыми помещениями граждан, проживающих в многоквартирных домах, признанных в порядке, установленном действующим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законодательством, аварийными и подлежащими сносу;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Задачи: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1. Ликвидация до 31.12.20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834,18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кв. м аварийного жилищного фонда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2. Переселение граждан, проживающих в жилых помещениях, расположенных в многоквартирных домах, признанных аварийными и подлежащими сносу, в благоустроенные жилые помещения в соответствии требованиями Жилищного </w:t>
            </w:r>
            <w:hyperlink r:id="rId12" w:tooltip="consultantplus://offline/ref=50AA6EDE8728B176EDE1EFE14D2A9832D89286D69D878B3EA0B90B5251V4R6F" w:history="1">
              <w:r>
                <w:rPr>
                  <w:rFonts w:eastAsia="Calibri"/>
                  <w:sz w:val="28"/>
                  <w:szCs w:val="28"/>
                  <w:lang w:eastAsia="en-US"/>
                </w:rPr>
                <w:t xml:space="preserve">кодекса</w:t>
              </w:r>
            </w:hyperlink>
            <w:r>
              <w:rPr>
                <w:rFonts w:eastAsia="Calibri"/>
                <w:sz w:val="28"/>
                <w:szCs w:val="28"/>
                <w:lang w:eastAsia="en-US"/>
              </w:rPr>
              <w:t xml:space="preserve"> Российской Федерации;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3.Создание условий для развития территорий муниципального образования, занятых аварийным жилищным фондом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Сроки и этапы реализации муниципальной 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Муниципальная п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рограмма реализуется в течение 202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-203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годов.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реализации программы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</w:rPr>
              <w:t xml:space="preserve">2026</w:t>
            </w:r>
            <w:r>
              <w:rPr>
                <w:sz w:val="28"/>
                <w:szCs w:val="28"/>
              </w:rPr>
              <w:t xml:space="preserve"> года - срок реализации до 31.12.20</w:t>
            </w:r>
            <w:r>
              <w:rPr>
                <w:sz w:val="28"/>
                <w:szCs w:val="28"/>
              </w:rPr>
              <w:t xml:space="preserve">26г.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Ожидаемые результаты муниципальной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widowControl w:val="off"/>
              <w:tabs>
                <w:tab w:val="left" w:pos="317" w:leader="none"/>
                <w:tab w:val="left" w:pos="2562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результате реализации </w:t>
            </w:r>
            <w:r>
              <w:rPr>
                <w:sz w:val="28"/>
                <w:szCs w:val="28"/>
              </w:rPr>
              <w:t xml:space="preserve">муниципальной п</w:t>
            </w:r>
            <w:r>
              <w:rPr>
                <w:sz w:val="28"/>
                <w:szCs w:val="28"/>
              </w:rPr>
              <w:t xml:space="preserve">рограммы планируется: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tabs>
                <w:tab w:val="left" w:pos="317" w:leader="none"/>
                <w:tab w:val="left" w:pos="2562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переселить </w:t>
            </w:r>
            <w:r>
              <w:rPr>
                <w:sz w:val="28"/>
                <w:szCs w:val="28"/>
              </w:rPr>
              <w:t xml:space="preserve">66</w:t>
            </w:r>
            <w:r>
              <w:rPr>
                <w:sz w:val="28"/>
                <w:szCs w:val="28"/>
              </w:rPr>
              <w:t xml:space="preserve"> человек;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- ликвидировать </w:t>
            </w:r>
            <w:r>
              <w:rPr>
                <w:sz w:val="28"/>
                <w:szCs w:val="28"/>
              </w:rPr>
              <w:t xml:space="preserve">834,18</w:t>
            </w:r>
            <w:r>
              <w:rPr>
                <w:sz w:val="28"/>
                <w:szCs w:val="28"/>
              </w:rPr>
              <w:t xml:space="preserve"> кв. м. аварийного жилищного фонда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Ответственный исполнитель муниципальной 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Управление архитектуры, строительства, транспорта и дорожного хозяйства</w:t>
            </w:r>
            <w:r>
              <w:rPr>
                <w:sz w:val="28"/>
                <w:szCs w:val="28"/>
              </w:rPr>
              <w:t xml:space="preserve"> администрации Маслянинского округа</w:t>
            </w:r>
            <w:r>
              <w:rPr>
                <w:sz w:val="28"/>
                <w:szCs w:val="28"/>
                <w:lang w:eastAsia="en-US"/>
              </w:rPr>
              <w:t xml:space="preserve"> Новосибирской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405"/>
        </w:trPr>
        <w:tc>
          <w:tcPr>
            <w:tcW w:w="355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Объемы и источники финансирования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муниципальной п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ind w:firstLine="425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00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726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Всего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(руб.)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2"/>
            <w:tcW w:w="347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том числе по годам: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210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726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Средства областного бюджета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(руб.)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75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Средства местного бюджета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(руб.)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210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5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0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2026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95 585 349,48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93 864 813,18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5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1 720 536,30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0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2027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5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0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2028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5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259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2029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5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0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2030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5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0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textDirection w:val="lrTb"/>
            <w:noWrap w:val="false"/>
          </w:tcPr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2031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5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0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2032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53" w:type="dxa"/>
            <w:textDirection w:val="lrTb"/>
            <w:noWrap w:val="false"/>
          </w:tcPr>
          <w:p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0,00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80"/>
        </w:trPr>
        <w:tc>
          <w:tcPr>
            <w:tcW w:w="3559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007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Всего за 2025</w:t>
            </w:r>
            <w:r>
              <w:rPr>
                <w:rFonts w:eastAsia="Calibri"/>
                <w:lang w:eastAsia="en-US"/>
              </w:rPr>
              <w:t xml:space="preserve">-203</w:t>
            </w:r>
            <w:r>
              <w:rPr>
                <w:rFonts w:eastAsia="Calibri"/>
                <w:lang w:eastAsia="en-US"/>
              </w:rPr>
              <w:t xml:space="preserve">2</w:t>
            </w:r>
            <w:r>
              <w:rPr>
                <w:rFonts w:eastAsia="Calibri"/>
                <w:lang w:eastAsia="en-US"/>
              </w:rPr>
              <w:t xml:space="preserve">гг.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95 585 349,48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93 864 813,18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W w:w="175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1 720 536,30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977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Суммы средств, выделяемые из областного бюджета и бюджета Маслянинского муниципального округа, подлежат ежегодному уточнению исходя из возможностей бюджетов всех уровней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Участники муниципальной программы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Маслянинского муниципального округа </w:t>
            </w:r>
            <w:r>
              <w:rPr>
                <w:sz w:val="28"/>
                <w:szCs w:val="28"/>
              </w:rPr>
              <w:t xml:space="preserve">Новосибирской области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3559" w:type="dxa"/>
            <w:textDirection w:val="lrTb"/>
            <w:noWrap w:val="false"/>
          </w:tcPr>
          <w:p>
            <w:pPr>
              <w:pStyle w:val="883"/>
              <w:ind w:firstLine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Система организации контроля за исполнением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W w:w="6212" w:type="dxa"/>
            <w:textDirection w:val="lrTb"/>
            <w:noWrap w:val="false"/>
          </w:tcPr>
          <w:p>
            <w:pPr>
              <w:pStyle w:val="883"/>
              <w:ind w:firstLine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Контроль за реализацией муниципальной программы осуществляется администрацией Маслянинского муниципального округа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outlineLvl w:val="0"/>
      </w:pPr>
      <w:r/>
      <w:r/>
    </w:p>
    <w:p>
      <w:pPr>
        <w:pStyle w:val="880"/>
        <w:numPr>
          <w:ilvl w:val="0"/>
          <w:numId w:val="6"/>
        </w:numPr>
        <w:ind w:left="0" w:firstLine="0"/>
        <w:jc w:val="center"/>
        <w:rPr>
          <w:b/>
          <w:szCs w:val="28"/>
        </w:rPr>
        <w:outlineLvl w:val="0"/>
      </w:pPr>
      <w:r>
        <w:rPr>
          <w:b/>
          <w:szCs w:val="28"/>
        </w:rPr>
        <w:t xml:space="preserve">Общие положения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рограмма разработана в целях реализации </w:t>
      </w:r>
      <w:r>
        <w:rPr>
          <w:i w:val="0"/>
          <w:iCs w:val="0"/>
        </w:rPr>
        <w:t xml:space="preserve">п</w:t>
      </w:r>
      <w:hyperlink r:id="rId13" w:tooltip="consultantplus://offline/ref=D231EEE0C2764634FCA065C9F230FE34362A37A76B346417C8BAC15F5084A61BrBnCC" w:history="1">
        <w:r>
          <w:rPr>
            <w:i w:val="0"/>
            <w:iCs w:val="0"/>
          </w:rPr>
          <w:t xml:space="preserve">остановления</w:t>
        </w:r>
      </w:hyperlink>
      <w:r>
        <w:rPr>
          <w:i w:val="0"/>
          <w:iCs w:val="0"/>
        </w:rPr>
        <w:t xml:space="preserve"> Правительства Новосибирской области от </w:t>
      </w:r>
      <w:r>
        <w:rPr>
          <w:i w:val="0"/>
          <w:iCs w:val="0"/>
        </w:rPr>
        <w:t xml:space="preserve">16.02.2015г.</w:t>
      </w:r>
      <w:r>
        <w:rPr>
          <w:i w:val="0"/>
          <w:iCs w:val="0"/>
        </w:rPr>
        <w:t xml:space="preserve"> № </w:t>
      </w:r>
      <w:r>
        <w:rPr>
          <w:i w:val="0"/>
          <w:iCs w:val="0"/>
        </w:rPr>
        <w:t xml:space="preserve">66</w:t>
      </w:r>
      <w:r>
        <w:rPr>
          <w:i w:val="0"/>
          <w:iCs w:val="0"/>
        </w:rPr>
        <w:t xml:space="preserve">-п </w:t>
      </w:r>
      <w:r>
        <w:rPr>
          <w:i w:val="0"/>
          <w:iCs w:val="0"/>
        </w:rPr>
        <w:t xml:space="preserve">«</w:t>
      </w:r>
      <w:r>
        <w:rPr>
          <w:bCs/>
          <w:i w:val="0"/>
          <w:shd w:val="clear" w:color="auto" w:fill="ffffff"/>
        </w:rPr>
        <w:t xml:space="preserve">Об утверждении государственной программы Новосибирской области «Жилищно-коммунальное хозяйство Новосибирской области</w:t>
      </w:r>
      <w:r>
        <w:rPr>
          <w:i w:val="0"/>
          <w:iCs w:val="0"/>
        </w:rPr>
        <w:t xml:space="preserve">»</w:t>
      </w:r>
      <w:r>
        <w:rPr>
          <w:i w:val="0"/>
          <w:iCs w:val="0"/>
        </w:rPr>
        <w:t xml:space="preserve"> (с изменениями на 28.12.2024г. постановление Правительства Новосибирской области № 628-п).</w:t>
      </w:r>
      <w:r>
        <w:rPr>
          <w:i w:val="0"/>
          <w:iCs w:val="0"/>
        </w:rPr>
        <w:t xml:space="preserve"> 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Объектом регулирования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является аварийный жилищный фонд - совокупность жилых помещений многоквартирных домов, признанных после 01.01.2017 аварийными и подлежащими сносу в связи с физическим износом в процессе их эксплуатации.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Предметом регулирования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является комплекс экономических, правовых и иных отношений, возникающих в процессе создания благоприятных </w:t>
      </w:r>
      <w:r>
        <w:rPr>
          <w:i w:val="0"/>
          <w:iCs w:val="0"/>
        </w:rPr>
        <w:t xml:space="preserve">условий проживания граждан путем их переселения из аварийного жилищного фонда.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Сфера действия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- жилищно-коммунальный комплекс.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Переселение граждан из аварийного жилищного фонда осуществляется в соответствии с жилищным законодательством.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Нормативная правовая база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рограммы: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Жилищный </w:t>
      </w:r>
      <w:hyperlink r:id="rId14" w:tooltip="consultantplus://offline/ref=38578BC87B8BE76C6D26D30348A769001393D0395D0E470BC2687E4CC5GDpCL" w:history="1">
        <w:r>
          <w:rPr>
            <w:i w:val="0"/>
            <w:iCs w:val="0"/>
          </w:rPr>
          <w:t xml:space="preserve">кодекс</w:t>
        </w:r>
      </w:hyperlink>
      <w:r>
        <w:rPr>
          <w:i w:val="0"/>
          <w:iCs w:val="0"/>
        </w:rPr>
        <w:t xml:space="preserve"> Российской Федерации;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Градостроительный </w:t>
      </w:r>
      <w:hyperlink r:id="rId15" w:tooltip="consultantplus://offline/ref=38578BC87B8BE76C6D26D30348A769001390D73E5003470BC2687E4CC5GDpCL" w:history="1">
        <w:r>
          <w:rPr>
            <w:i w:val="0"/>
            <w:iCs w:val="0"/>
          </w:rPr>
          <w:t xml:space="preserve">кодекс</w:t>
        </w:r>
      </w:hyperlink>
      <w:r>
        <w:rPr>
          <w:i w:val="0"/>
          <w:iCs w:val="0"/>
        </w:rPr>
        <w:t xml:space="preserve"> Российской Федерации;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Федеральный </w:t>
      </w:r>
      <w:hyperlink r:id="rId16" w:tooltip="consultantplus://offline/ref=38578BC87B8BE76C6D26D30348A769001393D035540C470BC2687E4CC5GDpCL" w:history="1">
        <w:r>
          <w:rPr>
            <w:i w:val="0"/>
            <w:iCs w:val="0"/>
          </w:rPr>
          <w:t xml:space="preserve">закон</w:t>
        </w:r>
      </w:hyperlink>
      <w:r>
        <w:rPr>
          <w:i w:val="0"/>
          <w:iCs w:val="0"/>
        </w:rPr>
        <w:t xml:space="preserve"> от 06.10.2003 №</w:t>
      </w:r>
      <w:r>
        <w:rPr>
          <w:i w:val="0"/>
          <w:iCs w:val="0"/>
        </w:rPr>
        <w:t xml:space="preserve"> </w:t>
      </w:r>
      <w:r>
        <w:rPr>
          <w:i w:val="0"/>
          <w:iCs w:val="0"/>
        </w:rPr>
        <w:t xml:space="preserve">131-ФЗ "Об общих принципах организации местного самоуправления в Российской Федерации";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</w:t>
      </w:r>
      <w:r>
        <w:rPr>
          <w:i w:val="0"/>
          <w:iCs w:val="0"/>
        </w:rPr>
        <w:t xml:space="preserve">Постановление </w:t>
      </w:r>
      <w:r>
        <w:rPr>
          <w:i w:val="0"/>
          <w:iCs w:val="0"/>
        </w:rPr>
        <w:t xml:space="preserve">Правительства Новосибирской области от 16.02.2015г. № 66-п </w:t>
      </w:r>
      <w:r>
        <w:rPr>
          <w:i w:val="0"/>
          <w:iCs w:val="0"/>
        </w:rPr>
        <w:t xml:space="preserve">«</w:t>
      </w:r>
      <w:r>
        <w:rPr>
          <w:bCs/>
          <w:i w:val="0"/>
          <w:shd w:val="clear" w:color="auto" w:fill="ffffff"/>
        </w:rPr>
        <w:t xml:space="preserve">Об утверждении государственной программы Новосибирской области «Жилищно-коммунальное хозяйство Новосибирской области</w:t>
      </w:r>
      <w:r>
        <w:rPr>
          <w:i w:val="0"/>
          <w:iCs w:val="0"/>
        </w:rPr>
        <w:t xml:space="preserve">»</w:t>
      </w:r>
      <w:r>
        <w:rPr>
          <w:i w:val="0"/>
          <w:iCs w:val="0"/>
        </w:rPr>
        <w:t xml:space="preserve"> (с изменениями на 28.12.2024г. постановление Правительства Новосибирской области № 628-п)</w:t>
      </w:r>
      <w:r>
        <w:rPr>
          <w:i w:val="0"/>
          <w:iCs w:val="0"/>
        </w:rPr>
        <w:t xml:space="preserve">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Постановление Правительства Российской Федерации от 28.01.2006 № 47 «Об утверждении положения и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реконструкции".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ind w:firstLine="708"/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3. Содержание проблемы и обоснование необходимости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ее решения программными методами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sz w:val="28"/>
          <w:szCs w:val="28"/>
        </w:rPr>
        <w:outlineLvl w:val="0"/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Одной из задач жилищной политики </w:t>
      </w:r>
      <w:r>
        <w:rPr>
          <w:sz w:val="28"/>
          <w:szCs w:val="28"/>
        </w:rPr>
        <w:t xml:space="preserve">муниципального образования</w:t>
      </w:r>
      <w:r>
        <w:rPr>
          <w:sz w:val="28"/>
          <w:szCs w:val="28"/>
        </w:rPr>
        <w:t xml:space="preserve"> Маслянинского муниципального округа Новосибирской области, направленной на комплексное решение проблемы перехода к устойчивому ф</w:t>
      </w:r>
      <w:r>
        <w:rPr>
          <w:sz w:val="28"/>
          <w:szCs w:val="28"/>
        </w:rPr>
        <w:t xml:space="preserve">ункционированию и развитию жилищной сферы, обеспечивающему доступность жилья для граждан, безопасные и комфортные условия проживания в нем, является обеспечение реализации права на улучшение жилищных условий граждан, проживающих в аварийном жилищном фонде.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Большинство граждан, проживающих в аварийном жилищном фонде, не в состоянии самостоятельно улучшить свои жилищные условия.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01.01.202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года жилищный фонд </w:t>
      </w:r>
      <w:r>
        <w:rPr>
          <w:sz w:val="28"/>
          <w:szCs w:val="28"/>
        </w:rPr>
        <w:t xml:space="preserve">муниципального образования</w:t>
      </w:r>
      <w:r>
        <w:rPr>
          <w:sz w:val="28"/>
          <w:szCs w:val="28"/>
        </w:rPr>
        <w:t xml:space="preserve"> Маслянинского муниципального округа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составляет 599,7 тыс. кв. метров общей площади. Ветхий и аварийный жилой фонд признанный таковым в установленном порядке после 1 января 2012 года, составляет </w:t>
      </w:r>
      <w:r>
        <w:rPr>
          <w:sz w:val="28"/>
          <w:szCs w:val="28"/>
        </w:rPr>
        <w:t xml:space="preserve">834,18</w:t>
      </w:r>
      <w:r>
        <w:rPr>
          <w:sz w:val="28"/>
          <w:szCs w:val="28"/>
        </w:rPr>
        <w:t xml:space="preserve"> кв. метров.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В основном это здания постройки 19</w:t>
      </w:r>
      <w:r>
        <w:rPr>
          <w:sz w:val="28"/>
          <w:szCs w:val="28"/>
        </w:rPr>
        <w:t xml:space="preserve">53</w:t>
      </w:r>
      <w:r>
        <w:rPr>
          <w:sz w:val="28"/>
          <w:szCs w:val="28"/>
        </w:rPr>
        <w:t xml:space="preserve"> - 1980 годов, имеющие физический износ 65 и более процентов, не имеющие потребительской стоимости на рынке жилья, морально и физически устаревшие и не соответствующие уста</w:t>
      </w:r>
      <w:r>
        <w:rPr>
          <w:sz w:val="28"/>
          <w:szCs w:val="28"/>
        </w:rPr>
        <w:t xml:space="preserve">новленным санитарным и техническим требованиям. Такие здания не подлежат капитальному ремонту или реконструкции, однако занимают значительные площади. Это малоэтажные дома с деревянными и шлакобетонными стенами, деревянными перекрытиями, неблагоустроенные.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Ветхий и аварийный жилищный фонд угрожает жизни и здоровью граждан, ухудшает внешний облик поселка, сдерживает развитие инженерной инфраструктуры, понижает инвестиционную привлекательность.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Основными причинами возникновения ветхого и аварийного жилищного фонда в </w:t>
      </w:r>
      <w:r>
        <w:rPr>
          <w:sz w:val="28"/>
          <w:szCs w:val="28"/>
        </w:rPr>
        <w:t xml:space="preserve">муниципальном образовании Маслянинский муниципальный округ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являются: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экстремальные условия формирования жилищного фонда в годы послевоенного периода;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- естественное старение домов;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- недостаточность средств на капитальный ремонт и текущее содержание.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Решение проблемы переселения граждан из аварийного жилищного фонда способствует снижению социальной напряженности.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b/>
          <w:sz w:val="28"/>
          <w:szCs w:val="28"/>
        </w:rPr>
        <w:outlineLvl w:val="0"/>
      </w:pPr>
      <w:r>
        <w:rPr>
          <w:sz w:val="28"/>
          <w:szCs w:val="28"/>
        </w:rPr>
        <w:t xml:space="preserve">Начиная с 2016 года, на территории </w:t>
      </w:r>
      <w:r>
        <w:rPr>
          <w:sz w:val="28"/>
          <w:szCs w:val="28"/>
        </w:rPr>
        <w:t xml:space="preserve">муниципального образования Маслянинский муниципальный округ Новосибирской области </w:t>
      </w:r>
      <w:r>
        <w:rPr>
          <w:sz w:val="28"/>
          <w:szCs w:val="28"/>
        </w:rPr>
        <w:t xml:space="preserve">ведется реализация мероприятий по переселению граждан из аварийного жилищного фонда в соответствии с постановлением Правительства Новосибирской области от 16.02.2015 № 66-п.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80"/>
        <w:numPr>
          <w:ilvl w:val="0"/>
          <w:numId w:val="6"/>
        </w:numPr>
        <w:ind w:left="0" w:firstLine="0"/>
        <w:jc w:val="center"/>
        <w:rPr>
          <w:b/>
          <w:szCs w:val="28"/>
        </w:rPr>
        <w:outlineLvl w:val="0"/>
      </w:pPr>
      <w:r>
        <w:rPr>
          <w:b/>
          <w:szCs w:val="28"/>
        </w:rPr>
        <w:t xml:space="preserve">Основные цели, задачи, сроки реализации </w:t>
      </w:r>
      <w:r>
        <w:rPr>
          <w:b/>
          <w:szCs w:val="28"/>
        </w:rPr>
        <w:t xml:space="preserve">п</w:t>
      </w:r>
      <w:r>
        <w:rPr>
          <w:b/>
          <w:szCs w:val="28"/>
        </w:rPr>
        <w:t xml:space="preserve">рограммы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рограммы является обеспечение граждан, проживающих в многоквартирных домах, признанных аварийными и подлежащими сносу в связи с физическим износом в процессе их эксплуатации, жилыми помещениями, отвечающими установленным требованиям.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указанной цели необходимо решить следующие задачи: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и реализация финансовых ресурсов для обеспечения переселения граждан из жилых помещений аварийного жилищного фонда;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жилищного фонда, необходимого для переселения граждан из жилых помещений аварийного жилищного фонда;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переселения граждан из аварийных многоквартирных домов;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ликвидация до 203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 существующего аварийного жилищного фонда;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строительство нового жилья в соответствии со стандартами качества, обеспечивающими комфортные и безопасные условия проживания.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многоквартирных домов и жилых домов, признанных аварийными и подлежащими сносу или реконструкции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Маслянинского муниципального округа Новосибирской области, в связи с физическим износом в процессе их эксплуатации, расселение которых планируется в рамках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рограммы, приведен в приложении № 1.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Способы переселения граждан приведены в приложении № 2 к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рограмме.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Планируемые показатели выполнения программы приведены в приложении № 3 к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рограмме.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ind w:firstLine="708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мероприятий,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рограммой, будет осуществляться в 202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– 203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годах, количество граждан, переселяемых из аварийного жилищного фонда - </w:t>
      </w:r>
      <w:r>
        <w:rPr>
          <w:rFonts w:ascii="Times New Roman" w:hAnsi="Times New Roman" w:cs="Times New Roman"/>
          <w:sz w:val="28"/>
          <w:szCs w:val="28"/>
        </w:rPr>
        <w:t xml:space="preserve">66 </w:t>
      </w:r>
      <w:r>
        <w:rPr>
          <w:rFonts w:ascii="Times New Roman" w:hAnsi="Times New Roman" w:cs="Times New Roman"/>
          <w:sz w:val="28"/>
          <w:szCs w:val="28"/>
        </w:rPr>
        <w:t xml:space="preserve">человек.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  <w:outlineLvl w:val="0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5. Система программных мероприятий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Основными мероприятиями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являются: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привлечение и аккумулирование бюджетных ресурсов для реализации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приобретение у застройщиков жилых помещений в многоквартирных домах или долевое участие в строительстве жилых помещений, в том числе в домах, строительство которых не завершено;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предоставление жилых помещений гражданам, переселяемым из аварийного жилищного фонда.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Условиями изъятия жилых помещений у собственников и условиями переселения граждан из жилых помещений, занимаемых по договорам социального найма, являются: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Изъятие жилых помещений в аварийных многоквартирных дом</w:t>
      </w:r>
      <w:r>
        <w:rPr>
          <w:i w:val="0"/>
          <w:iCs w:val="0"/>
        </w:rPr>
        <w:t xml:space="preserve">ах, за исключением жилых помещений, принадлежащих на праве собственности администрации Маслянинского муниципального округа Новосибирской области, производится в порядке, предусмотренном частями 1 – 2, 5 – 9 статьи 32 Жилищного кодекса Российской Федерации;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Переселение граждан из жилых помещений, зани</w:t>
      </w:r>
      <w:r>
        <w:rPr>
          <w:i w:val="0"/>
          <w:iCs w:val="0"/>
        </w:rPr>
        <w:t xml:space="preserve">маемых по договорам социального найма, производится в соответствии со статьями 86 и 89 Жилищного кодекса Российской Федерации, в приобретенные благоустроенные жилые помещения за счет средств бюджета Маслянинского муниципального округа Новосибирской области</w:t>
      </w:r>
      <w:r>
        <w:rPr>
          <w:i w:val="0"/>
          <w:iCs w:val="0"/>
        </w:rPr>
        <w:t xml:space="preserve">,</w:t>
      </w:r>
      <w:r>
        <w:rPr>
          <w:i w:val="0"/>
          <w:iCs w:val="0"/>
        </w:rPr>
        <w:t xml:space="preserve"> </w:t>
      </w:r>
      <w:r>
        <w:rPr>
          <w:i w:val="0"/>
          <w:iCs w:val="0"/>
        </w:rPr>
        <w:t xml:space="preserve">в том числе за счет средств финансовой поддержки областного бюджета Новосибирской области</w:t>
      </w:r>
      <w:r>
        <w:rPr>
          <w:i w:val="0"/>
          <w:iCs w:val="0"/>
        </w:rPr>
        <w:t xml:space="preserve">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Переселение граждан, являющихся собственниками жилых помещений в аварийных многоквартирных домах, осуществлять</w:t>
      </w:r>
      <w:r>
        <w:rPr>
          <w:i w:val="0"/>
          <w:iCs w:val="0"/>
        </w:rPr>
        <w:t xml:space="preserve"> в соответствии с заключенными предварительными договорами путем предоставления взамен изымаемых жилых помещений других жилых помещений в многоквартирных домах, приобретенных муниципальным образованием Маслянинский муниципальный округ Новосибирской области</w:t>
      </w:r>
      <w:r>
        <w:rPr>
          <w:i w:val="0"/>
          <w:iCs w:val="0"/>
        </w:rPr>
        <w:t xml:space="preserve">, путем выкупа жилых помещений у собственников </w:t>
      </w:r>
      <w:r>
        <w:rPr>
          <w:i w:val="0"/>
          <w:iCs w:val="0"/>
        </w:rPr>
        <w:t xml:space="preserve">за счет средств бюджета Маслянинского муниципального округа Новосибирской области, в том числе за счет средств финансовой поддержки областного бюджета Новосибирской области.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ind w:firstLine="708"/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708"/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6. Механизм финансирования </w:t>
      </w:r>
      <w:r>
        <w:rPr>
          <w:b/>
          <w:sz w:val="28"/>
          <w:szCs w:val="28"/>
        </w:rPr>
        <w:t xml:space="preserve">п</w:t>
      </w:r>
      <w:r>
        <w:rPr>
          <w:b/>
          <w:sz w:val="28"/>
          <w:szCs w:val="28"/>
        </w:rPr>
        <w:t xml:space="preserve">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Финансовые ресурсы для выполнения мероприятий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формируются за счет средств областного бюджета Новосибирской области (далее - областной бюджет) и средств бюджета Маслянинского муниципального округа Новосибирской области (далее – местный бюджет).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Муниципальное образование Маслянинский муниципальный округ</w:t>
      </w:r>
      <w:r>
        <w:rPr>
          <w:i w:val="0"/>
          <w:iCs w:val="0"/>
        </w:rPr>
        <w:t xml:space="preserve"> Новосибирской области</w:t>
      </w:r>
      <w:r>
        <w:rPr>
          <w:i w:val="0"/>
          <w:iCs w:val="0"/>
        </w:rPr>
        <w:t xml:space="preserve"> представляет министерству жилищно-коммунального хозяйства и энергетики Новосибирской области расчеты по объемам средств, необходимых для реализации программных мероприятий, и предусматривает соответствующие объемы в местном бюджете.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Средства областного бюджета на долевое финансирование переселения граждан из аварийного жилищного фонда перечисляются местному бюджету в форме субсидий.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Финансовая поддержка пре</w:t>
      </w:r>
      <w:r>
        <w:rPr>
          <w:i w:val="0"/>
          <w:iCs w:val="0"/>
        </w:rPr>
        <w:t xml:space="preserve">доставляется муниципальному образованию Маслянинский муниципальный округ Новосибирской области при условии наличия обязательства обеспечить переселение граждан из всего аварийного жилищного фонда, расположенного на территории муниципального образования до </w:t>
      </w:r>
      <w:r>
        <w:rPr>
          <w:i w:val="0"/>
          <w:iCs w:val="0"/>
        </w:rPr>
        <w:t xml:space="preserve">31 декабря 20</w:t>
      </w:r>
      <w:r>
        <w:rPr>
          <w:i w:val="0"/>
          <w:iCs w:val="0"/>
        </w:rPr>
        <w:t xml:space="preserve">3</w:t>
      </w:r>
      <w:r>
        <w:rPr>
          <w:i w:val="0"/>
          <w:iCs w:val="0"/>
        </w:rPr>
        <w:t xml:space="preserve">2</w:t>
      </w:r>
      <w:r>
        <w:rPr>
          <w:i w:val="0"/>
          <w:iCs w:val="0"/>
        </w:rPr>
        <w:t xml:space="preserve"> года.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Переселение граждан из аварийного жилищного фонда, осуществляется в соответствии с жилищным законодательством путем предоставления органами местного самоуправления жилых помещений в домах, перечисленных в </w:t>
      </w:r>
      <w:hyperlink r:id="rId17" w:tooltip="consultantplus://offline/ref=38578BC87B8BE76C6D26D30348A769001390D73E5003470BC2687E4CC5DCE6CD87EF294D3F3E8F4BGDp5L" w:history="1">
        <w:r>
          <w:rPr>
            <w:i w:val="0"/>
            <w:iCs w:val="0"/>
          </w:rPr>
          <w:t xml:space="preserve">пунктах 2</w:t>
        </w:r>
      </w:hyperlink>
      <w:r>
        <w:rPr>
          <w:i w:val="0"/>
          <w:iCs w:val="0"/>
        </w:rPr>
        <w:t xml:space="preserve"> и </w:t>
      </w:r>
      <w:hyperlink r:id="rId18" w:tooltip="consultantplus://offline/ref=38578BC87B8BE76C6D26D30348A769001390D73E5003470BC2687E4CC5DCE6CD87EF294D3F3E8F4BGDp2L" w:history="1">
        <w:r>
          <w:rPr>
            <w:i w:val="0"/>
            <w:iCs w:val="0"/>
          </w:rPr>
          <w:t xml:space="preserve">3 части 2 статьи 49</w:t>
        </w:r>
      </w:hyperlink>
      <w:r>
        <w:rPr>
          <w:i w:val="0"/>
          <w:iCs w:val="0"/>
        </w:rPr>
        <w:t xml:space="preserve"> Градостроительного кодекса Российской Федерации, или приобретения жилых помещений в таких домах у </w:t>
      </w:r>
      <w:r>
        <w:rPr>
          <w:i w:val="0"/>
          <w:iCs w:val="0"/>
        </w:rPr>
        <w:t xml:space="preserve">собственников жилых помещений</w:t>
      </w:r>
      <w:r>
        <w:rPr>
          <w:i w:val="0"/>
          <w:iCs w:val="0"/>
        </w:rPr>
        <w:t xml:space="preserve">. Иные способы переселения граждан из аварийного жилищного фонда не допускаются.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Цена муниципального контракта на строительство домов, перечисленных в </w:t>
      </w:r>
      <w:hyperlink r:id="rId19" w:tooltip="consultantplus://offline/ref=38578BC87B8BE76C6D26D30348A769001390D73E5003470BC2687E4CC5DCE6CD87EF294D3F3E8F4BGDp5L" w:history="1">
        <w:r>
          <w:rPr>
            <w:i w:val="0"/>
            <w:iCs w:val="0"/>
          </w:rPr>
          <w:t xml:space="preserve">пунктах 2</w:t>
        </w:r>
      </w:hyperlink>
      <w:r>
        <w:rPr>
          <w:i w:val="0"/>
          <w:iCs w:val="0"/>
        </w:rPr>
        <w:t xml:space="preserve"> и </w:t>
      </w:r>
      <w:hyperlink r:id="rId20" w:tooltip="consultantplus://offline/ref=38578BC87B8BE76C6D26D30348A769001390D73E5003470BC2687E4CC5DCE6CD87EF294D3F3E8F4BGDp2L" w:history="1">
        <w:r>
          <w:rPr>
            <w:i w:val="0"/>
            <w:iCs w:val="0"/>
          </w:rPr>
          <w:t xml:space="preserve">3 части 2 статьи 49</w:t>
        </w:r>
      </w:hyperlink>
      <w:r>
        <w:rPr>
          <w:i w:val="0"/>
          <w:iCs w:val="0"/>
        </w:rPr>
        <w:t xml:space="preserve"> Градостроительного кодекса Российской Федерации, или приобретение жилых помещений в этих домах</w:t>
      </w:r>
      <w:r>
        <w:rPr>
          <w:i w:val="0"/>
          <w:iCs w:val="0"/>
        </w:rPr>
        <w:t xml:space="preserve"> формируется исходя из цены одного квадратного метра жилых помещений в этих домах. Такая цена одного квадратного метра не должна превышать предельную стоимость одного квадратного метра общей площади жилого помещения, размер которой указан в приложении № 2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Средства, составляющие разницу между расчетной, начальной (максимальной) ценой муниципального контракта на строительство домов, перечисленных в </w:t>
      </w:r>
      <w:hyperlink r:id="rId21" w:tooltip="consultantplus://offline/ref=38578BC87B8BE76C6D26D30348A769001390D73E5003470BC2687E4CC5DCE6CD87EF294D3F3E8F4BGDp5L" w:history="1">
        <w:r>
          <w:rPr>
            <w:i w:val="0"/>
            <w:iCs w:val="0"/>
          </w:rPr>
          <w:t xml:space="preserve">пунктах 2</w:t>
        </w:r>
      </w:hyperlink>
      <w:r>
        <w:rPr>
          <w:i w:val="0"/>
          <w:iCs w:val="0"/>
        </w:rPr>
        <w:t xml:space="preserve"> и </w:t>
      </w:r>
      <w:hyperlink r:id="rId22" w:tooltip="consultantplus://offline/ref=38578BC87B8BE76C6D26D30348A769001390D73E5003470BC2687E4CC5DCE6CD87EF294D3F3E8F4BGDp2L" w:history="1">
        <w:r>
          <w:rPr>
            <w:i w:val="0"/>
            <w:iCs w:val="0"/>
          </w:rPr>
          <w:t xml:space="preserve">3 части 2 статьи 49</w:t>
        </w:r>
      </w:hyperlink>
      <w:r>
        <w:rPr>
          <w:i w:val="0"/>
          <w:iCs w:val="0"/>
        </w:rPr>
        <w:t xml:space="preserve"> Градостроительного кодекса Российской Федерации, или приобретение жилых помещений в этих домах и ценой заключенного муниципального контракта на строительство</w:t>
      </w:r>
      <w:r>
        <w:rPr>
          <w:i w:val="0"/>
          <w:iCs w:val="0"/>
        </w:rPr>
        <w:t xml:space="preserve"> домов или приобретение жилых помещений у застройщиков жилых домов, могут быть использованы органом местного самоуправления на финансирование работ по формированию земельных участков, которые находятся в муниципальной собственности и которые предназначены </w:t>
      </w:r>
      <w:r>
        <w:rPr>
          <w:i w:val="0"/>
          <w:iCs w:val="0"/>
        </w:rPr>
        <w:t xml:space="preserve">для строительства вышеуказанных домов в целях переселения граждан из аварийного жилищного фонда, и проведению государственного кадастрового учета таких земельных участков, а также на обеспечение таких земельных участков объектами инженерной инфраструктуры.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В случае заключения органами местного самоуправления муниципального контракта на строительство домов или приобретение жилых помещений у застройщиков жилых домов для переселения граждан</w:t>
      </w:r>
      <w:r>
        <w:rPr>
          <w:i w:val="0"/>
          <w:iCs w:val="0"/>
        </w:rPr>
        <w:t xml:space="preserve"> из аварийного жилищного фонда по цене, превышающей расчетную цену приобретения жилых помещений, финансирование расходов на оплату стоимости такого превышения осуществляется за счет средств бюджета Маслянинского муниципального округа Новосибирской области.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</w:t>
      </w:r>
      <w:r>
        <w:rPr>
          <w:i w:val="0"/>
          <w:iCs w:val="0"/>
        </w:rPr>
        <w:t xml:space="preserve">и с жилищным законодательством нормы предоставления площади жилого помещения на одного человека, финансирование расходов на оплату стоимости такого превышения осуществляется за счет средств бюджета Маслянинского муниципального округа Новосибирской области.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Лица, с которыми заключены муниципальные контракты на строительство домов, указанных в </w:t>
      </w:r>
      <w:hyperlink r:id="rId23" w:tooltip="consultantplus://offline/ref=38578BC87B8BE76C6D26D30348A769001390D73E5003470BC2687E4CC5DCE6CD87EF294D3F3E8F4BGDp5L" w:history="1">
        <w:r>
          <w:rPr>
            <w:i w:val="0"/>
            <w:iCs w:val="0"/>
          </w:rPr>
          <w:t xml:space="preserve">пунктах 2</w:t>
        </w:r>
      </w:hyperlink>
      <w:r>
        <w:rPr>
          <w:i w:val="0"/>
          <w:iCs w:val="0"/>
        </w:rPr>
        <w:t xml:space="preserve"> и </w:t>
      </w:r>
      <w:hyperlink r:id="rId24" w:tooltip="consultantplus://offline/ref=38578BC87B8BE76C6D26D30348A769001390D73E5003470BC2687E4CC5DCE6CD87EF294D3F3E8F4BGDp2L" w:history="1">
        <w:r>
          <w:rPr>
            <w:i w:val="0"/>
            <w:iCs w:val="0"/>
          </w:rPr>
          <w:t xml:space="preserve">3 части 2 статьи 49</w:t>
        </w:r>
      </w:hyperlink>
      <w:r>
        <w:rPr>
          <w:i w:val="0"/>
          <w:iCs w:val="0"/>
        </w:rPr>
        <w:t xml:space="preserve"> Градостроительного кодекса Российской Федерации, в порядке и в сроки, которые установлены муниципальными правовыми актами, обязаны направлять в администрацию </w:t>
      </w:r>
      <w:r>
        <w:rPr>
          <w:i w:val="0"/>
          <w:iCs w:val="0"/>
        </w:rPr>
        <w:t xml:space="preserve">Маслянинского муниципального округа Новосибирской области информацию о ходе строительства таких домов.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Администрация Маслянинского муниципального округа Новосибирской области осуществляет: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-формирование и представление министерству заявки на предоставление субсидии;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-представление копий нормативных правовых актов, подтверждающих выполнение условий предоставления финансовой поддержки за счет средств Фонда;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-размещение муниципального заказа на строительство (приобретение) жилых помещений для переселения граждан из аварийного жилищного фонда в установленном законодательством Российской Федерации порядке;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-переселение граждан из аварийного жилищного фонда в соответствии с жилищным законодательством;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-снос расселенных аварийных жилых домов;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-контроль за использованием средств, выделяемых на переселение граждан из аварийного жилищного фонда;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-представление министерству в установленные им сроки отчетов о ходе реализации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и расходовании средств.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ind w:firstLine="708"/>
        <w:jc w:val="center"/>
        <w:rPr>
          <w:b/>
          <w:sz w:val="28"/>
          <w:szCs w:val="28"/>
        </w:rPr>
        <w:outlineLvl w:val="0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90"/>
        <w:ind w:firstLine="680"/>
        <w:keepNext w:val="0"/>
        <w:rPr>
          <w:b/>
          <w:i w:val="0"/>
          <w:iCs w:val="0"/>
        </w:rPr>
      </w:pPr>
      <w:r>
        <w:rPr>
          <w:b/>
          <w:i w:val="0"/>
          <w:iCs w:val="0"/>
        </w:rPr>
        <w:t xml:space="preserve">7. Обоснование объемов средств на реализацию </w:t>
      </w:r>
      <w:r>
        <w:rPr>
          <w:b/>
          <w:i w:val="0"/>
          <w:iCs w:val="0"/>
        </w:rPr>
        <w:t xml:space="preserve">п</w:t>
      </w:r>
      <w:r>
        <w:rPr>
          <w:b/>
          <w:i w:val="0"/>
          <w:iCs w:val="0"/>
        </w:rPr>
        <w:t xml:space="preserve">рограммы</w:t>
      </w:r>
      <w:r>
        <w:rPr>
          <w:b/>
          <w:i w:val="0"/>
          <w:iCs w:val="0"/>
        </w:rPr>
      </w:r>
      <w:r>
        <w:rPr>
          <w:b/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Стоимость реализации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рассчитана исходя из цены одного квадратного метра приобретаемого жилого помещения, которая не превышает предельную стоимость одного квадратного метра общей площади жилого помещения, установленную в соответствии с </w:t>
      </w:r>
      <w:hyperlink r:id="rId25" w:tooltip="consultantplus://offline/ref=38578BC87B8BE76C6D26D30348A769001392D43D5C0A470BC2687E4CC5GDpCL" w:history="1">
        <w:r>
          <w:rPr>
            <w:i w:val="0"/>
            <w:iCs w:val="0"/>
          </w:rPr>
          <w:t xml:space="preserve">Приказом</w:t>
        </w:r>
      </w:hyperlink>
      <w:r>
        <w:rPr>
          <w:i w:val="0"/>
        </w:rPr>
        <w:t xml:space="preserve"> </w:t>
      </w:r>
      <w:r>
        <w:rPr>
          <w:i w:val="0"/>
          <w:iCs w:val="0"/>
        </w:rPr>
        <w:t xml:space="preserve">Министерства строительства и жилищно-коммунального хозяйства Российской Федерации от </w:t>
      </w:r>
      <w:r>
        <w:rPr>
          <w:i w:val="0"/>
          <w:iCs w:val="0"/>
        </w:rPr>
        <w:t xml:space="preserve">25 декабря 2024г. № 911/</w:t>
      </w:r>
      <w:r>
        <w:rPr>
          <w:i w:val="0"/>
          <w:iCs w:val="0"/>
        </w:rPr>
        <w:t xml:space="preserve">пр</w:t>
      </w:r>
      <w:r>
        <w:rPr>
          <w:i w:val="0"/>
          <w:iCs w:val="0"/>
        </w:rPr>
        <w:t xml:space="preserve"> «О нормативе стоимости одного квартирного метра общей площади жилого помещения по Российской Федерации на первое полугодие 2025 года и средней рыночной стоимости одного квадратного метра общей площади жилого помещения по субъектам Российской Федерации на </w:t>
      </w:r>
      <w:r>
        <w:rPr>
          <w:i w:val="0"/>
          <w:iCs w:val="0"/>
          <w:lang w:val="en-US"/>
        </w:rPr>
        <w:t xml:space="preserve">I</w:t>
      </w:r>
      <w:r>
        <w:rPr>
          <w:i w:val="0"/>
          <w:iCs w:val="0"/>
        </w:rPr>
        <w:t xml:space="preserve"> квартал 2025 года», используемой при приобретении жилых помещений в размере 114 586,00 рублей</w:t>
      </w:r>
      <w:r>
        <w:rPr>
          <w:i w:val="0"/>
          <w:iCs w:val="0"/>
        </w:rPr>
        <w:t xml:space="preserve">. 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Стоимость мероприятий по переселению граждан из аварийного жилищного фонда, равнозначного по общей площади ранее занимаемой гражданами, рассчитывается как произведение общей площади аварийного жилищного фонда, включенного в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рограмму, на предельную стоимость одного квадратного метра общей площади жилых помещений.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Количество и общая площадь жилых помещений в аварийном жилищном фонде, подлежащем расселению в рамках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в </w:t>
      </w:r>
      <w:r>
        <w:rPr>
          <w:i w:val="0"/>
          <w:iCs w:val="0"/>
        </w:rPr>
        <w:t xml:space="preserve">202</w:t>
      </w:r>
      <w:r>
        <w:rPr>
          <w:i w:val="0"/>
          <w:iCs w:val="0"/>
        </w:rPr>
        <w:t xml:space="preserve">5</w:t>
      </w:r>
      <w:r>
        <w:rPr>
          <w:i w:val="0"/>
          <w:iCs w:val="0"/>
        </w:rPr>
        <w:t xml:space="preserve">-203</w:t>
      </w:r>
      <w:r>
        <w:rPr>
          <w:i w:val="0"/>
          <w:iCs w:val="0"/>
        </w:rPr>
        <w:t xml:space="preserve">2</w:t>
      </w:r>
      <w:r>
        <w:rPr>
          <w:i w:val="0"/>
          <w:iCs w:val="0"/>
        </w:rPr>
        <w:t xml:space="preserve"> годах, приведены в приложении № 3 к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рограмме. 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Расчетная стоимость переселения граждан из аварийного жилищного фонда, равно</w:t>
      </w:r>
      <w:r>
        <w:rPr>
          <w:i w:val="0"/>
          <w:iCs w:val="0"/>
        </w:rPr>
        <w:t xml:space="preserve">значного по общей площади, ранее занимаемой гражданами и прогнозные расходы на оплату стоимости превышения переселения граждан, в связи с предоставлением жилого помещения большей площади ранее занимаемого ими жилого помещения, приведены в приложении № 1 к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рограмме. </w:t>
      </w:r>
      <w:r>
        <w:rPr>
          <w:i w:val="0"/>
          <w:iCs w:val="0"/>
        </w:rPr>
      </w:r>
      <w:r>
        <w:rPr>
          <w:i w:val="0"/>
          <w:iCs w:val="0"/>
        </w:rPr>
      </w:r>
    </w:p>
    <w:p>
      <w:r/>
      <w:r/>
    </w:p>
    <w:p>
      <w:pPr>
        <w:pStyle w:val="890"/>
        <w:ind w:firstLine="680"/>
        <w:keepNext w:val="0"/>
        <w:rPr>
          <w:b/>
          <w:i w:val="0"/>
          <w:iCs w:val="0"/>
        </w:rPr>
      </w:pPr>
      <w:r>
        <w:rPr>
          <w:b/>
          <w:i w:val="0"/>
          <w:iCs w:val="0"/>
        </w:rPr>
        <w:t xml:space="preserve">8. Объем и источники финансирования </w:t>
      </w:r>
      <w:r>
        <w:rPr>
          <w:b/>
          <w:i w:val="0"/>
          <w:iCs w:val="0"/>
        </w:rPr>
        <w:t xml:space="preserve">п</w:t>
      </w:r>
      <w:r>
        <w:rPr>
          <w:b/>
          <w:i w:val="0"/>
          <w:iCs w:val="0"/>
        </w:rPr>
        <w:t xml:space="preserve">рограммы</w:t>
      </w:r>
      <w:r>
        <w:rPr>
          <w:b/>
          <w:i w:val="0"/>
          <w:iCs w:val="0"/>
        </w:rPr>
      </w:r>
      <w:r>
        <w:rPr>
          <w:b/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1. Поступление субсидии бюджету Маслянинского муниципального округа Новосибирской области на обеспечение мероприятий по переселению граждан из аварийного жилищного фонда за счет средств </w:t>
      </w:r>
      <w:r>
        <w:rPr>
          <w:i w:val="0"/>
          <w:iCs w:val="0"/>
        </w:rPr>
        <w:t xml:space="preserve">областного</w:t>
      </w:r>
      <w:r>
        <w:rPr>
          <w:i w:val="0"/>
          <w:iCs w:val="0"/>
        </w:rPr>
        <w:t xml:space="preserve"> </w:t>
      </w:r>
      <w:r>
        <w:rPr>
          <w:i w:val="0"/>
          <w:iCs w:val="0"/>
        </w:rPr>
        <w:t xml:space="preserve">бюджета Новосибирской области: 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2025 год – 0,00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2026 год – </w:t>
      </w:r>
      <w:r>
        <w:rPr>
          <w:rFonts w:eastAsia="Calibri"/>
          <w:i w:val="0"/>
          <w:lang w:eastAsia="en-US"/>
        </w:rPr>
        <w:t xml:space="preserve">93 864 813,18</w:t>
      </w:r>
      <w:r>
        <w:rPr>
          <w:rFonts w:eastAsia="Calibri"/>
          <w:lang w:eastAsia="en-US"/>
        </w:rPr>
        <w:t xml:space="preserve"> </w:t>
      </w:r>
      <w:r>
        <w:rPr>
          <w:i w:val="0"/>
          <w:iCs w:val="0"/>
        </w:rPr>
        <w:t xml:space="preserve">рублей;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rPr>
          <w:rFonts w:eastAsia="Calibri"/>
        </w:rPr>
      </w:pPr>
      <w:r>
        <w:rPr>
          <w:sz w:val="28"/>
          <w:szCs w:val="28"/>
        </w:rPr>
        <w:t xml:space="preserve">2027 год –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рублей;</w:t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</w:rPr>
      </w:pPr>
      <w:r>
        <w:rPr>
          <w:sz w:val="28"/>
          <w:szCs w:val="28"/>
        </w:rPr>
        <w:t xml:space="preserve">2028 год –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рублей;</w:t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</w:rPr>
      </w:pPr>
      <w:r>
        <w:rPr>
          <w:sz w:val="28"/>
          <w:szCs w:val="28"/>
        </w:rPr>
        <w:t xml:space="preserve">2029 год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рублей;</w:t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</w:rPr>
      </w:pPr>
      <w:r>
        <w:rPr>
          <w:sz w:val="28"/>
          <w:szCs w:val="28"/>
        </w:rPr>
        <w:t xml:space="preserve">2030 год -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2031 год -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rFonts w:eastAsia="Calibri"/>
        </w:rPr>
      </w:pPr>
      <w:r>
        <w:rPr>
          <w:sz w:val="28"/>
          <w:szCs w:val="28"/>
        </w:rPr>
        <w:t xml:space="preserve">2032 год – 0,00 рублей.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890"/>
        <w:numPr>
          <w:ilvl w:val="0"/>
          <w:numId w:val="7"/>
        </w:numPr>
        <w:ind w:left="0" w:firstLine="36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Расходы, осуществляемые за сч</w:t>
      </w:r>
      <w:r>
        <w:rPr>
          <w:i w:val="0"/>
          <w:iCs w:val="0"/>
        </w:rPr>
        <w:t xml:space="preserve">е</w:t>
      </w:r>
      <w:r>
        <w:rPr>
          <w:i w:val="0"/>
          <w:iCs w:val="0"/>
        </w:rPr>
        <w:t xml:space="preserve">т средств </w:t>
      </w:r>
      <w:r>
        <w:rPr>
          <w:i w:val="0"/>
          <w:iCs w:val="0"/>
        </w:rPr>
        <w:t xml:space="preserve">местного </w:t>
      </w:r>
      <w:r>
        <w:rPr>
          <w:i w:val="0"/>
          <w:iCs w:val="0"/>
        </w:rPr>
        <w:t xml:space="preserve">бюджета Маслянинского муниципального округа Новосибирской области - софинансирование на обеспечение мероприятий по переселению граждан из аварийного жилищного фонда: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2025 год – 0,00 рублей;</w:t>
      </w:r>
      <w:r>
        <w:rPr>
          <w:i w:val="0"/>
          <w:iCs w:val="0"/>
        </w:rPr>
        <w:t xml:space="preserve"> 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jc w:val="both"/>
        <w:rPr>
          <w:rFonts w:eastAsia="Calibri"/>
          <w:sz w:val="28"/>
          <w:szCs w:val="28"/>
        </w:rPr>
      </w:pPr>
      <w:r/>
      <w:bookmarkStart w:id="0" w:name="_GoBack"/>
      <w:r>
        <w:rPr>
          <w:sz w:val="28"/>
          <w:szCs w:val="28"/>
        </w:rPr>
        <w:t xml:space="preserve">2026 год –  </w:t>
      </w:r>
      <w:r>
        <w:rPr>
          <w:rFonts w:eastAsia="Calibri"/>
          <w:sz w:val="28"/>
          <w:szCs w:val="28"/>
          <w:lang w:eastAsia="en-US"/>
        </w:rPr>
        <w:t xml:space="preserve">1 720 536,30 </w:t>
      </w:r>
      <w:r>
        <w:rPr>
          <w:sz w:val="28"/>
          <w:szCs w:val="28"/>
        </w:rPr>
        <w:t xml:space="preserve">рублей;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2027 год –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2028 год –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2029 год -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2030 год -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2031 год - </w:t>
      </w:r>
      <w:r>
        <w:rPr>
          <w:sz w:val="28"/>
          <w:szCs w:val="28"/>
        </w:rPr>
        <w:t xml:space="preserve">0,00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2032 год – 0,00 рублей.</w:t>
      </w:r>
      <w:bookmarkEnd w:id="0"/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0"/>
        <w:keepNext w:val="0"/>
        <w:rPr>
          <w:b/>
          <w:i w:val="0"/>
          <w:iCs w:val="0"/>
        </w:rPr>
      </w:pPr>
      <w:r>
        <w:rPr>
          <w:b/>
          <w:i w:val="0"/>
          <w:iCs w:val="0"/>
        </w:rPr>
        <w:t xml:space="preserve">9. Ожидаемые результаты реализации </w:t>
      </w:r>
      <w:r>
        <w:rPr>
          <w:b/>
          <w:i w:val="0"/>
          <w:iCs w:val="0"/>
        </w:rPr>
        <w:t xml:space="preserve">п</w:t>
      </w:r>
      <w:r>
        <w:rPr>
          <w:b/>
          <w:i w:val="0"/>
          <w:iCs w:val="0"/>
        </w:rPr>
        <w:t xml:space="preserve">рограммы</w:t>
      </w:r>
      <w:r>
        <w:rPr>
          <w:b/>
          <w:i w:val="0"/>
          <w:iCs w:val="0"/>
        </w:rPr>
      </w:r>
      <w:r>
        <w:rPr>
          <w:b/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Оценка эффективности реализации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будет осуществляться на основе следующих индикаторов: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доля граждан, улучшивших свои жилищные условия, в общем количестве граждан, проживающих в аварийном жилищном фонде;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доля ликвидируемого аварийного жилищного фонда, включенного в программу.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Успешное выполнение мероприятий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позволят обеспечить: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комфортные условия проживания 66 человеку, проживающему в многоквартирных домах, признанных после 01.01.2017 аварийными и подлежащими сносу;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-ликвидацию </w:t>
      </w:r>
      <w:r>
        <w:rPr>
          <w:i w:val="0"/>
          <w:iCs w:val="0"/>
        </w:rPr>
        <w:t xml:space="preserve">834,18 </w:t>
      </w:r>
      <w:r>
        <w:rPr>
          <w:i w:val="0"/>
          <w:iCs w:val="0"/>
        </w:rPr>
        <w:t xml:space="preserve">кв. м. общей площади аварийного жилищного фонда, признанного непригодного для проживания;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создание благоприятных условий на территории поселка для ежегодного наращивания объемов нового жилищного строительства;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снижение социальной напряженности;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улучшение демографической ситуации;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улучшение состояния здоровья населения.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Результатом выполнения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станет не только решение проблемы переселения граждан из аварийного жилищного фонда, но и улучшение </w:t>
      </w:r>
      <w:r>
        <w:rPr>
          <w:i w:val="0"/>
          <w:iCs w:val="0"/>
        </w:rPr>
        <w:t xml:space="preserve">окружающей среды за счет комплексного освоения территории, занятой аварийным жилищным фондом, обновление муниципального жилищного фонда. 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keepNext w:val="0"/>
        <w:rPr>
          <w:b/>
          <w:i w:val="0"/>
          <w:iCs w:val="0"/>
        </w:rPr>
      </w:pPr>
      <w:r>
        <w:rPr>
          <w:b/>
          <w:i w:val="0"/>
          <w:iCs w:val="0"/>
        </w:rPr>
        <w:t xml:space="preserve">10. Система управления реализацией </w:t>
      </w:r>
      <w:r>
        <w:rPr>
          <w:b/>
          <w:i w:val="0"/>
          <w:iCs w:val="0"/>
        </w:rPr>
        <w:t xml:space="preserve">п</w:t>
      </w:r>
      <w:r>
        <w:rPr>
          <w:b/>
          <w:i w:val="0"/>
          <w:iCs w:val="0"/>
        </w:rPr>
        <w:t xml:space="preserve">рограммы</w:t>
      </w:r>
      <w:r>
        <w:rPr>
          <w:b/>
          <w:i w:val="0"/>
          <w:iCs w:val="0"/>
        </w:rPr>
      </w:r>
      <w:r>
        <w:rPr>
          <w:b/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Организация управления реализацией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и контроль за ходом ее реализации возлагается на муниципального заказчика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- </w:t>
      </w:r>
      <w:r>
        <w:rPr>
          <w:i w:val="0"/>
          <w:iCs w:val="0"/>
        </w:rPr>
        <w:t xml:space="preserve">а</w:t>
      </w:r>
      <w:r>
        <w:rPr>
          <w:i w:val="0"/>
          <w:iCs w:val="0"/>
        </w:rPr>
        <w:t xml:space="preserve">дминистрацию Маслянинского муниципального округа Новосибирской области.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Муниципальный заказчик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рограммы: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организует информационно-разъяснительную работу среди населения путем проведения собраний (сходов), а также через печатные и электронные средства массовой информации.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- анализирует ход выполнения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и еженедельно, ежеквартально, а также по итогам года представляет информацию о выполнении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до 5 числа (до 20 числа для годового отчета) месяца, следующего за отчетным периодом, в министерство в соответствии с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орядком проведения мониторинга реализации региональных адресных программ и выполнения условий предоставления финансовой поддержки за счет средств областного бюджета. Исполнители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несут ответственность за реализацию мероприятий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рограммы, их конечные результаты, целевое использование выделяемых финансовых средств.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90"/>
        <w:ind w:firstLine="680"/>
        <w:jc w:val="both"/>
        <w:keepNext w:val="0"/>
        <w:rPr>
          <w:i w:val="0"/>
          <w:iCs w:val="0"/>
        </w:rPr>
      </w:pPr>
      <w:r>
        <w:rPr>
          <w:i w:val="0"/>
          <w:iCs w:val="0"/>
        </w:rPr>
        <w:t xml:space="preserve">Контроль за ходом реализации </w:t>
      </w:r>
      <w:r>
        <w:rPr>
          <w:i w:val="0"/>
          <w:iCs w:val="0"/>
        </w:rPr>
        <w:t xml:space="preserve">п</w:t>
      </w:r>
      <w:r>
        <w:rPr>
          <w:i w:val="0"/>
          <w:iCs w:val="0"/>
        </w:rPr>
        <w:t xml:space="preserve">рограммы осуществляется Главой Маслянинского муниципального округа Новосибирской области.</w:t>
      </w:r>
      <w:r>
        <w:rPr>
          <w:i w:val="0"/>
          <w:iCs w:val="0"/>
        </w:rPr>
      </w:r>
      <w:r>
        <w:rPr>
          <w:i w:val="0"/>
          <w:iCs w:val="0"/>
        </w:rPr>
      </w:r>
    </w:p>
    <w:p>
      <w:pPr>
        <w:pStyle w:val="878"/>
        <w:ind w:firstLine="0"/>
      </w:pPr>
      <w:r/>
      <w:r/>
    </w:p>
    <w:p>
      <w:pPr>
        <w:pStyle w:val="878"/>
        <w:ind w:firstLine="0"/>
      </w:pPr>
      <w:r/>
      <w:r/>
    </w:p>
    <w:p>
      <w:pPr>
        <w:pStyle w:val="878"/>
        <w:ind w:firstLine="0"/>
      </w:pPr>
      <w:r/>
      <w:r/>
    </w:p>
    <w:p>
      <w:pPr>
        <w:pStyle w:val="878"/>
        <w:ind w:firstLine="0"/>
      </w:pPr>
      <w:r/>
      <w:r/>
    </w:p>
    <w:p>
      <w:pPr>
        <w:pStyle w:val="878"/>
        <w:ind w:firstLine="0"/>
      </w:pPr>
      <w:r/>
      <w:r/>
    </w:p>
    <w:p>
      <w:pPr>
        <w:pStyle w:val="878"/>
        <w:ind w:firstLine="0"/>
      </w:pPr>
      <w:r/>
      <w:r/>
    </w:p>
    <w:p>
      <w:pPr>
        <w:pStyle w:val="878"/>
        <w:ind w:firstLine="0"/>
      </w:pPr>
      <w:r/>
      <w:r/>
    </w:p>
    <w:p>
      <w:pPr>
        <w:pStyle w:val="878"/>
        <w:ind w:firstLine="0"/>
      </w:pPr>
      <w:r/>
      <w:r/>
    </w:p>
    <w:p>
      <w:pPr>
        <w:pStyle w:val="890"/>
        <w:jc w:val="both"/>
        <w:keepNext w:val="0"/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pStyle w:val="890"/>
        <w:jc w:val="both"/>
        <w:keepNext w:val="0"/>
        <w:tabs>
          <w:tab w:val="left" w:pos="8646" w:leader="none"/>
        </w:tabs>
      </w:pPr>
      <w:r/>
      <w:r/>
    </w:p>
    <w:p>
      <w:pPr>
        <w:jc w:val="right"/>
        <w:rPr>
          <w:sz w:val="28"/>
        </w:rPr>
      </w:pPr>
      <w:r>
        <w:rPr>
          <w:sz w:val="28"/>
        </w:rPr>
        <w:t xml:space="preserve"> Форма №1</w:t>
      </w:r>
      <w:r>
        <w:rPr>
          <w:sz w:val="28"/>
        </w:rPr>
      </w:r>
      <w:r>
        <w:rPr>
          <w:sz w:val="28"/>
        </w:rPr>
      </w:r>
    </w:p>
    <w:p>
      <w:pPr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jc w:val="center"/>
        <w:rPr>
          <w:sz w:val="28"/>
        </w:rPr>
      </w:pPr>
      <w:r>
        <w:rPr>
          <w:sz w:val="28"/>
        </w:rPr>
        <w:t xml:space="preserve">Оценка основных целевых индикаторов </w:t>
      </w:r>
      <w:r>
        <w:rPr>
          <w:sz w:val="28"/>
        </w:rPr>
      </w:r>
      <w:r>
        <w:rPr>
          <w:sz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</w:rPr>
        <w:t xml:space="preserve">Муниципальной программы «</w:t>
      </w:r>
      <w:r>
        <w:rPr>
          <w:sz w:val="28"/>
        </w:rPr>
        <w:t xml:space="preserve">Переселение граждан из аварийного жилищного фонда в Маслянинском муниципальном округе Новосибирской области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</w:rPr>
        <w:t xml:space="preserve">на 2025-2032 годы</w:t>
      </w:r>
      <w:r>
        <w:rPr>
          <w:sz w:val="28"/>
        </w:rPr>
        <w:t xml:space="preserve">»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</w:rPr>
      </w:pPr>
      <w:r>
        <w:rPr>
          <w:sz w:val="28"/>
        </w:rPr>
        <w:t xml:space="preserve">за ___________ год</w:t>
      </w:r>
      <w:r>
        <w:rPr>
          <w:sz w:val="28"/>
        </w:rPr>
      </w:r>
      <w:r>
        <w:rPr>
          <w:sz w:val="28"/>
        </w:rPr>
      </w:r>
    </w:p>
    <w:p>
      <w:pPr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Style w:val="891"/>
        <w:tblW w:w="0" w:type="auto"/>
        <w:tblLayout w:type="fixed"/>
        <w:tblLook w:val="04A0" w:firstRow="1" w:lastRow="0" w:firstColumn="1" w:lastColumn="0" w:noHBand="0" w:noVBand="1"/>
      </w:tblPr>
      <w:tblGrid>
        <w:gridCol w:w="2061"/>
        <w:gridCol w:w="1538"/>
        <w:gridCol w:w="1661"/>
        <w:gridCol w:w="1589"/>
        <w:gridCol w:w="1633"/>
        <w:gridCol w:w="1089"/>
      </w:tblGrid>
      <w:tr>
        <w:tblPrEx/>
        <w:trPr>
          <w:trHeight w:val="390"/>
        </w:trPr>
        <w:tc>
          <w:tcPr>
            <w:tcW w:w="206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целевого индикатора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3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4"/>
            <w:tcW w:w="597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Значение целевого индикатора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>
          <w:trHeight w:val="570"/>
        </w:trPr>
        <w:tc>
          <w:tcPr>
            <w:tcW w:w="206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6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Утверждено по программе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Достигнуто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08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в баллах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06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индикатор 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0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061" w:type="dxa"/>
            <w:textDirection w:val="lrTb"/>
            <w:noWrap w:val="false"/>
          </w:tcPr>
          <w:p>
            <w:pPr>
              <w:tabs>
                <w:tab w:val="left" w:pos="375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индикатор 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0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06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индикатор 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0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06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целевые индикаторы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0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06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Итоговая сводная оценка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0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90"/>
        <w:jc w:val="both"/>
        <w:keepNext w:val="0"/>
        <w:tabs>
          <w:tab w:val="left" w:pos="8646" w:leader="none"/>
        </w:tabs>
      </w:pPr>
      <w:r/>
      <w:r/>
    </w:p>
    <w:sectPr>
      <w:footerReference w:type="default" r:id="rId9"/>
      <w:footnotePr/>
      <w:endnotePr/>
      <w:type w:val="nextPage"/>
      <w:pgSz w:w="11906" w:h="16838" w:orient="portrait"/>
      <w:pgMar w:top="426" w:right="566" w:bottom="709" w:left="1559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6030504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7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3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15" w:hanging="76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70" w:hanging="180"/>
      </w:pPr>
    </w:lvl>
  </w:abstractNum>
  <w:abstractNum w:abstractNumId="6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Right m:val="true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681">
    <w:name w:val="Heading 2 Char"/>
    <w:basedOn w:val="705"/>
    <w:link w:val="697"/>
    <w:uiPriority w:val="9"/>
    <w:rPr>
      <w:rFonts w:ascii="Arial" w:hAnsi="Arial" w:eastAsia="Arial" w:cs="Arial"/>
      <w:sz w:val="34"/>
    </w:rPr>
  </w:style>
  <w:style w:type="character" w:styleId="682">
    <w:name w:val="Heading 3 Char"/>
    <w:basedOn w:val="705"/>
    <w:link w:val="698"/>
    <w:uiPriority w:val="9"/>
    <w:rPr>
      <w:rFonts w:ascii="Arial" w:hAnsi="Arial" w:eastAsia="Arial" w:cs="Arial"/>
      <w:sz w:val="30"/>
      <w:szCs w:val="30"/>
    </w:rPr>
  </w:style>
  <w:style w:type="character" w:styleId="683">
    <w:name w:val="Heading 4 Char"/>
    <w:basedOn w:val="705"/>
    <w:link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684">
    <w:name w:val="Heading 5 Char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685">
    <w:name w:val="Heading 6 Char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686">
    <w:name w:val="Heading 7 Char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8 Char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688">
    <w:name w:val="Heading 9 Char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character" w:styleId="689">
    <w:name w:val="Title Char"/>
    <w:basedOn w:val="705"/>
    <w:link w:val="718"/>
    <w:uiPriority w:val="10"/>
    <w:rPr>
      <w:sz w:val="48"/>
      <w:szCs w:val="48"/>
    </w:rPr>
  </w:style>
  <w:style w:type="character" w:styleId="690">
    <w:name w:val="Subtitle Char"/>
    <w:basedOn w:val="705"/>
    <w:link w:val="720"/>
    <w:uiPriority w:val="11"/>
    <w:rPr>
      <w:sz w:val="24"/>
      <w:szCs w:val="24"/>
    </w:rPr>
  </w:style>
  <w:style w:type="character" w:styleId="691">
    <w:name w:val="Quote Char"/>
    <w:link w:val="722"/>
    <w:uiPriority w:val="29"/>
    <w:rPr>
      <w:i/>
    </w:rPr>
  </w:style>
  <w:style w:type="character" w:styleId="692">
    <w:name w:val="Intense Quote Char"/>
    <w:link w:val="724"/>
    <w:uiPriority w:val="30"/>
    <w:rPr>
      <w:i/>
    </w:rPr>
  </w:style>
  <w:style w:type="character" w:styleId="693">
    <w:name w:val="Footnote Text Char"/>
    <w:link w:val="856"/>
    <w:uiPriority w:val="99"/>
    <w:rPr>
      <w:sz w:val="18"/>
    </w:rPr>
  </w:style>
  <w:style w:type="character" w:styleId="694">
    <w:name w:val="Endnote Text Char"/>
    <w:link w:val="859"/>
    <w:uiPriority w:val="99"/>
    <w:rPr>
      <w:sz w:val="20"/>
    </w:rPr>
  </w:style>
  <w:style w:type="paragraph" w:styleId="695" w:default="1">
    <w:name w:val="Normal"/>
    <w:qFormat/>
    <w:rPr>
      <w:sz w:val="24"/>
      <w:szCs w:val="24"/>
    </w:rPr>
  </w:style>
  <w:style w:type="paragraph" w:styleId="696">
    <w:name w:val="Heading 1"/>
    <w:basedOn w:val="695"/>
    <w:next w:val="695"/>
    <w:link w:val="70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7">
    <w:name w:val="Heading 2"/>
    <w:basedOn w:val="695"/>
    <w:next w:val="695"/>
    <w:link w:val="70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8">
    <w:name w:val="Heading 3"/>
    <w:basedOn w:val="695"/>
    <w:next w:val="695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9">
    <w:name w:val="Heading 4"/>
    <w:basedOn w:val="695"/>
    <w:next w:val="695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695"/>
    <w:next w:val="695"/>
    <w:link w:val="71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01">
    <w:name w:val="Heading 6"/>
    <w:basedOn w:val="695"/>
    <w:next w:val="695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695"/>
    <w:next w:val="695"/>
    <w:link w:val="7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3">
    <w:name w:val="Heading 8"/>
    <w:basedOn w:val="695"/>
    <w:next w:val="695"/>
    <w:link w:val="7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695"/>
    <w:next w:val="695"/>
    <w:link w:val="71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 w:default="1">
    <w:name w:val="Default Paragraph Font"/>
    <w:uiPriority w:val="1"/>
    <w:semiHidden/>
    <w:unhideWhenUsed/>
  </w:style>
  <w:style w:type="table" w:styleId="70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7" w:default="1">
    <w:name w:val="No List"/>
    <w:uiPriority w:val="99"/>
    <w:semiHidden/>
    <w:unhideWhenUsed/>
  </w:style>
  <w:style w:type="character" w:styleId="708" w:customStyle="1">
    <w:name w:val="Заголовок 1 Знак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Заголовок 2 Знак"/>
    <w:basedOn w:val="705"/>
    <w:link w:val="697"/>
    <w:uiPriority w:val="9"/>
    <w:rPr>
      <w:rFonts w:ascii="Arial" w:hAnsi="Arial" w:eastAsia="Arial" w:cs="Arial"/>
      <w:sz w:val="34"/>
    </w:rPr>
  </w:style>
  <w:style w:type="character" w:styleId="710" w:customStyle="1">
    <w:name w:val="Заголовок 3 Знак"/>
    <w:basedOn w:val="705"/>
    <w:link w:val="698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Заголовок 4 Знак"/>
    <w:basedOn w:val="705"/>
    <w:link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712" w:customStyle="1">
    <w:name w:val="Заголовок 5 Знак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13" w:customStyle="1">
    <w:name w:val="Заголовок 6 Знак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14" w:customStyle="1">
    <w:name w:val="Заголовок 7 Знак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5" w:customStyle="1">
    <w:name w:val="Заголовок 8 Знак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16" w:customStyle="1">
    <w:name w:val="Заголовок 9 Знак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17">
    <w:name w:val="No Spacing"/>
    <w:uiPriority w:val="1"/>
    <w:qFormat/>
  </w:style>
  <w:style w:type="paragraph" w:styleId="718">
    <w:name w:val="Title"/>
    <w:basedOn w:val="695"/>
    <w:next w:val="695"/>
    <w:link w:val="7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9" w:customStyle="1">
    <w:name w:val="Название Знак"/>
    <w:basedOn w:val="705"/>
    <w:link w:val="718"/>
    <w:uiPriority w:val="10"/>
    <w:rPr>
      <w:sz w:val="48"/>
      <w:szCs w:val="48"/>
    </w:rPr>
  </w:style>
  <w:style w:type="paragraph" w:styleId="720">
    <w:name w:val="Subtitle"/>
    <w:basedOn w:val="695"/>
    <w:next w:val="695"/>
    <w:link w:val="721"/>
    <w:uiPriority w:val="11"/>
    <w:qFormat/>
    <w:pPr>
      <w:spacing w:before="200" w:after="200"/>
    </w:pPr>
  </w:style>
  <w:style w:type="character" w:styleId="721" w:customStyle="1">
    <w:name w:val="Подзаголовок Знак"/>
    <w:basedOn w:val="705"/>
    <w:link w:val="720"/>
    <w:uiPriority w:val="11"/>
    <w:rPr>
      <w:sz w:val="24"/>
      <w:szCs w:val="24"/>
    </w:rPr>
  </w:style>
  <w:style w:type="paragraph" w:styleId="722">
    <w:name w:val="Quote"/>
    <w:basedOn w:val="695"/>
    <w:next w:val="695"/>
    <w:link w:val="723"/>
    <w:uiPriority w:val="29"/>
    <w:qFormat/>
    <w:pPr>
      <w:ind w:left="720" w:right="720"/>
    </w:pPr>
    <w:rPr>
      <w:i/>
    </w:rPr>
  </w:style>
  <w:style w:type="character" w:styleId="723" w:customStyle="1">
    <w:name w:val="Цитата 2 Знак"/>
    <w:link w:val="722"/>
    <w:uiPriority w:val="29"/>
    <w:rPr>
      <w:i/>
    </w:rPr>
  </w:style>
  <w:style w:type="paragraph" w:styleId="724">
    <w:name w:val="Intense Quote"/>
    <w:basedOn w:val="695"/>
    <w:next w:val="695"/>
    <w:link w:val="72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 w:customStyle="1">
    <w:name w:val="Выделенная цитата Знак"/>
    <w:link w:val="724"/>
    <w:uiPriority w:val="30"/>
    <w:rPr>
      <w:i/>
    </w:rPr>
  </w:style>
  <w:style w:type="character" w:styleId="726" w:customStyle="1">
    <w:name w:val="Header Char"/>
    <w:basedOn w:val="705"/>
    <w:uiPriority w:val="99"/>
  </w:style>
  <w:style w:type="character" w:styleId="727" w:customStyle="1">
    <w:name w:val="Footer Char"/>
    <w:basedOn w:val="705"/>
    <w:uiPriority w:val="99"/>
  </w:style>
  <w:style w:type="paragraph" w:styleId="728">
    <w:name w:val="Caption"/>
    <w:basedOn w:val="695"/>
    <w:next w:val="69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9" w:customStyle="1">
    <w:name w:val="Caption Char"/>
    <w:uiPriority w:val="99"/>
  </w:style>
  <w:style w:type="table" w:styleId="730" w:customStyle="1">
    <w:name w:val="Table Grid Light"/>
    <w:basedOn w:val="706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 w:customStyle="1">
    <w:name w:val="Plain Table 1"/>
    <w:basedOn w:val="706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 w:customStyle="1">
    <w:name w:val="Plain Table 2"/>
    <w:basedOn w:val="706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 w:customStyle="1">
    <w:name w:val="Plain Table 3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 w:customStyle="1">
    <w:name w:val="Plain Table 4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Plain Table 5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1 Light"/>
    <w:basedOn w:val="706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basedOn w:val="706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basedOn w:val="706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basedOn w:val="706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basedOn w:val="706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basedOn w:val="706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basedOn w:val="70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2"/>
    <w:basedOn w:val="706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basedOn w:val="706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basedOn w:val="706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basedOn w:val="706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basedOn w:val="706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basedOn w:val="706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basedOn w:val="70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"/>
    <w:basedOn w:val="706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basedOn w:val="706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basedOn w:val="706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basedOn w:val="706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basedOn w:val="706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basedOn w:val="706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basedOn w:val="70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4"/>
    <w:basedOn w:val="706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basedOn w:val="706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9" w:customStyle="1">
    <w:name w:val="Grid Table 4 - Accent 2"/>
    <w:basedOn w:val="706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0" w:customStyle="1">
    <w:name w:val="Grid Table 4 - Accent 3"/>
    <w:basedOn w:val="706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1" w:customStyle="1">
    <w:name w:val="Grid Table 4 - Accent 4"/>
    <w:basedOn w:val="706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2" w:customStyle="1">
    <w:name w:val="Grid Table 4 - Accent 5"/>
    <w:basedOn w:val="706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3" w:customStyle="1">
    <w:name w:val="Grid Table 4 - Accent 6"/>
    <w:basedOn w:val="706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4" w:customStyle="1">
    <w:name w:val="Grid Table 5 Dark"/>
    <w:basedOn w:val="70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basedOn w:val="70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basedOn w:val="70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basedOn w:val="70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basedOn w:val="70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basedOn w:val="70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basedOn w:val="70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6 Colorful"/>
    <w:basedOn w:val="70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basedOn w:val="706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3" w:customStyle="1">
    <w:name w:val="Grid Table 6 Colorful - Accent 2"/>
    <w:basedOn w:val="706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4" w:customStyle="1">
    <w:name w:val="Grid Table 6 Colorful - Accent 3"/>
    <w:basedOn w:val="706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5" w:customStyle="1">
    <w:name w:val="Grid Table 6 Colorful - Accent 4"/>
    <w:basedOn w:val="706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6" w:customStyle="1">
    <w:name w:val="Grid Table 6 Colorful - Accent 5"/>
    <w:basedOn w:val="706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7" w:customStyle="1">
    <w:name w:val="Grid Table 6 Colorful - Accent 6"/>
    <w:basedOn w:val="706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8" w:customStyle="1">
    <w:name w:val="Grid Table 7 Colorful"/>
    <w:basedOn w:val="706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1"/>
    <w:basedOn w:val="706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2"/>
    <w:basedOn w:val="706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3"/>
    <w:basedOn w:val="706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4"/>
    <w:basedOn w:val="706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5"/>
    <w:basedOn w:val="706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6"/>
    <w:basedOn w:val="706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basedOn w:val="70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2"/>
    <w:basedOn w:val="706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basedOn w:val="706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basedOn w:val="706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basedOn w:val="706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basedOn w:val="706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basedOn w:val="706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basedOn w:val="70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9" w:customStyle="1">
    <w:name w:val="List Table 3"/>
    <w:basedOn w:val="706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basedOn w:val="706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basedOn w:val="706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basedOn w:val="706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basedOn w:val="706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basedOn w:val="706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basedOn w:val="70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"/>
    <w:basedOn w:val="706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basedOn w:val="706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basedOn w:val="706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basedOn w:val="706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basedOn w:val="706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basedOn w:val="706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basedOn w:val="70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5 Dark"/>
    <w:basedOn w:val="70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basedOn w:val="706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basedOn w:val="706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basedOn w:val="706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basedOn w:val="706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basedOn w:val="706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basedOn w:val="70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6 Colorful"/>
    <w:basedOn w:val="70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basedOn w:val="706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2" w:customStyle="1">
    <w:name w:val="List Table 6 Colorful - Accent 2"/>
    <w:basedOn w:val="706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3" w:customStyle="1">
    <w:name w:val="List Table 6 Colorful - Accent 3"/>
    <w:basedOn w:val="706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4" w:customStyle="1">
    <w:name w:val="List Table 6 Colorful - Accent 4"/>
    <w:basedOn w:val="706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5" w:customStyle="1">
    <w:name w:val="List Table 6 Colorful - Accent 5"/>
    <w:basedOn w:val="706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6" w:customStyle="1">
    <w:name w:val="List Table 6 Colorful - Accent 6"/>
    <w:basedOn w:val="70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7" w:customStyle="1">
    <w:name w:val="List Table 7 Colorful"/>
    <w:basedOn w:val="706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1"/>
    <w:basedOn w:val="706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2"/>
    <w:basedOn w:val="706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3"/>
    <w:basedOn w:val="706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4"/>
    <w:basedOn w:val="706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5"/>
    <w:basedOn w:val="706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6"/>
    <w:basedOn w:val="706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ned - Accent"/>
    <w:basedOn w:val="70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basedOn w:val="70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6" w:customStyle="1">
    <w:name w:val="Lined - Accent 2"/>
    <w:basedOn w:val="70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7" w:customStyle="1">
    <w:name w:val="Lined - Accent 3"/>
    <w:basedOn w:val="70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8" w:customStyle="1">
    <w:name w:val="Lined - Accent 4"/>
    <w:basedOn w:val="70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9" w:customStyle="1">
    <w:name w:val="Lined - Accent 5"/>
    <w:basedOn w:val="70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0" w:customStyle="1">
    <w:name w:val="Lined - Accent 6"/>
    <w:basedOn w:val="70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1" w:customStyle="1">
    <w:name w:val="Bordered &amp; Lined - Accent"/>
    <w:basedOn w:val="70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basedOn w:val="70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3" w:customStyle="1">
    <w:name w:val="Bordered &amp; Lined - Accent 2"/>
    <w:basedOn w:val="70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4" w:customStyle="1">
    <w:name w:val="Bordered &amp; Lined - Accent 3"/>
    <w:basedOn w:val="70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5" w:customStyle="1">
    <w:name w:val="Bordered &amp; Lined - Accent 4"/>
    <w:basedOn w:val="70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6" w:customStyle="1">
    <w:name w:val="Bordered &amp; Lined - Accent 5"/>
    <w:basedOn w:val="70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7" w:customStyle="1">
    <w:name w:val="Bordered &amp; Lined - Accent 6"/>
    <w:basedOn w:val="70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8" w:customStyle="1">
    <w:name w:val="Bordered"/>
    <w:basedOn w:val="706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basedOn w:val="706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0" w:customStyle="1">
    <w:name w:val="Bordered - Accent 2"/>
    <w:basedOn w:val="706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1" w:customStyle="1">
    <w:name w:val="Bordered - Accent 3"/>
    <w:basedOn w:val="706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2" w:customStyle="1">
    <w:name w:val="Bordered - Accent 4"/>
    <w:basedOn w:val="706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3" w:customStyle="1">
    <w:name w:val="Bordered - Accent 5"/>
    <w:basedOn w:val="706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4" w:customStyle="1">
    <w:name w:val="Bordered - Accent 6"/>
    <w:basedOn w:val="70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5">
    <w:name w:val="Hyperlink"/>
    <w:uiPriority w:val="99"/>
    <w:unhideWhenUsed/>
    <w:rPr>
      <w:color w:val="0563c1" w:themeColor="hyperlink"/>
      <w:u w:val="single"/>
    </w:rPr>
  </w:style>
  <w:style w:type="paragraph" w:styleId="856">
    <w:name w:val="footnote text"/>
    <w:basedOn w:val="695"/>
    <w:link w:val="857"/>
    <w:uiPriority w:val="99"/>
    <w:semiHidden/>
    <w:unhideWhenUsed/>
    <w:pPr>
      <w:spacing w:after="40"/>
    </w:pPr>
    <w:rPr>
      <w:sz w:val="18"/>
    </w:rPr>
  </w:style>
  <w:style w:type="character" w:styleId="857" w:customStyle="1">
    <w:name w:val="Текст сноски Знак"/>
    <w:link w:val="856"/>
    <w:uiPriority w:val="99"/>
    <w:rPr>
      <w:sz w:val="18"/>
    </w:rPr>
  </w:style>
  <w:style w:type="character" w:styleId="858">
    <w:name w:val="footnote reference"/>
    <w:basedOn w:val="705"/>
    <w:uiPriority w:val="99"/>
    <w:unhideWhenUsed/>
    <w:rPr>
      <w:vertAlign w:val="superscript"/>
    </w:rPr>
  </w:style>
  <w:style w:type="paragraph" w:styleId="859">
    <w:name w:val="endnote text"/>
    <w:basedOn w:val="695"/>
    <w:link w:val="860"/>
    <w:uiPriority w:val="99"/>
    <w:semiHidden/>
    <w:unhideWhenUsed/>
    <w:rPr>
      <w:sz w:val="20"/>
    </w:rPr>
  </w:style>
  <w:style w:type="character" w:styleId="860" w:customStyle="1">
    <w:name w:val="Текст концевой сноски Знак"/>
    <w:link w:val="859"/>
    <w:uiPriority w:val="99"/>
    <w:rPr>
      <w:sz w:val="20"/>
    </w:rPr>
  </w:style>
  <w:style w:type="character" w:styleId="861">
    <w:name w:val="endnote reference"/>
    <w:basedOn w:val="705"/>
    <w:uiPriority w:val="99"/>
    <w:semiHidden/>
    <w:unhideWhenUsed/>
    <w:rPr>
      <w:vertAlign w:val="superscript"/>
    </w:rPr>
  </w:style>
  <w:style w:type="paragraph" w:styleId="862">
    <w:name w:val="toc 1"/>
    <w:basedOn w:val="695"/>
    <w:next w:val="695"/>
    <w:uiPriority w:val="39"/>
    <w:unhideWhenUsed/>
    <w:pPr>
      <w:spacing w:after="57"/>
    </w:pPr>
  </w:style>
  <w:style w:type="paragraph" w:styleId="863">
    <w:name w:val="toc 2"/>
    <w:basedOn w:val="695"/>
    <w:next w:val="695"/>
    <w:uiPriority w:val="39"/>
    <w:unhideWhenUsed/>
    <w:pPr>
      <w:ind w:left="283"/>
      <w:spacing w:after="57"/>
    </w:pPr>
  </w:style>
  <w:style w:type="paragraph" w:styleId="864">
    <w:name w:val="toc 3"/>
    <w:basedOn w:val="695"/>
    <w:next w:val="695"/>
    <w:uiPriority w:val="39"/>
    <w:unhideWhenUsed/>
    <w:pPr>
      <w:ind w:left="567"/>
      <w:spacing w:after="57"/>
    </w:pPr>
  </w:style>
  <w:style w:type="paragraph" w:styleId="865">
    <w:name w:val="toc 4"/>
    <w:basedOn w:val="695"/>
    <w:next w:val="695"/>
    <w:uiPriority w:val="39"/>
    <w:unhideWhenUsed/>
    <w:pPr>
      <w:ind w:left="850"/>
      <w:spacing w:after="57"/>
    </w:pPr>
  </w:style>
  <w:style w:type="paragraph" w:styleId="866">
    <w:name w:val="toc 5"/>
    <w:basedOn w:val="695"/>
    <w:next w:val="695"/>
    <w:uiPriority w:val="39"/>
    <w:unhideWhenUsed/>
    <w:pPr>
      <w:ind w:left="1134"/>
      <w:spacing w:after="57"/>
    </w:pPr>
  </w:style>
  <w:style w:type="paragraph" w:styleId="867">
    <w:name w:val="toc 6"/>
    <w:basedOn w:val="695"/>
    <w:next w:val="695"/>
    <w:uiPriority w:val="39"/>
    <w:unhideWhenUsed/>
    <w:pPr>
      <w:ind w:left="1417"/>
      <w:spacing w:after="57"/>
    </w:pPr>
  </w:style>
  <w:style w:type="paragraph" w:styleId="868">
    <w:name w:val="toc 7"/>
    <w:basedOn w:val="695"/>
    <w:next w:val="695"/>
    <w:uiPriority w:val="39"/>
    <w:unhideWhenUsed/>
    <w:pPr>
      <w:ind w:left="1701"/>
      <w:spacing w:after="57"/>
    </w:pPr>
  </w:style>
  <w:style w:type="paragraph" w:styleId="869">
    <w:name w:val="toc 8"/>
    <w:basedOn w:val="695"/>
    <w:next w:val="695"/>
    <w:uiPriority w:val="39"/>
    <w:unhideWhenUsed/>
    <w:pPr>
      <w:ind w:left="1984"/>
      <w:spacing w:after="57"/>
    </w:pPr>
  </w:style>
  <w:style w:type="paragraph" w:styleId="870">
    <w:name w:val="toc 9"/>
    <w:basedOn w:val="695"/>
    <w:next w:val="695"/>
    <w:uiPriority w:val="39"/>
    <w:unhideWhenUsed/>
    <w:pPr>
      <w:ind w:left="2268"/>
      <w:spacing w:after="57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695"/>
    <w:next w:val="695"/>
    <w:uiPriority w:val="99"/>
    <w:unhideWhenUsed/>
  </w:style>
  <w:style w:type="paragraph" w:styleId="873" w:customStyle="1">
    <w:name w:val="Заголовок к тексту"/>
    <w:basedOn w:val="695"/>
    <w:next w:val="878"/>
    <w:pPr>
      <w:spacing w:after="480" w:line="240" w:lineRule="exact"/>
    </w:pPr>
    <w:rPr>
      <w:b/>
      <w:sz w:val="28"/>
      <w:szCs w:val="20"/>
    </w:rPr>
  </w:style>
  <w:style w:type="paragraph" w:styleId="874" w:customStyle="1">
    <w:name w:val="регистрационные поля"/>
    <w:basedOn w:val="695"/>
    <w:pPr>
      <w:jc w:val="center"/>
      <w:spacing w:line="240" w:lineRule="exact"/>
    </w:pPr>
    <w:rPr>
      <w:sz w:val="28"/>
      <w:szCs w:val="20"/>
      <w:lang w:val="en-US"/>
    </w:rPr>
  </w:style>
  <w:style w:type="paragraph" w:styleId="875" w:customStyle="1">
    <w:name w:val="Исполнитель"/>
    <w:basedOn w:val="878"/>
    <w:pPr>
      <w:spacing w:line="240" w:lineRule="exact"/>
    </w:pPr>
    <w:rPr>
      <w:szCs w:val="20"/>
    </w:rPr>
  </w:style>
  <w:style w:type="paragraph" w:styleId="876">
    <w:name w:val="Footer"/>
    <w:basedOn w:val="695"/>
    <w:link w:val="877"/>
    <w:pPr>
      <w:tabs>
        <w:tab w:val="center" w:pos="4677" w:leader="none"/>
        <w:tab w:val="right" w:pos="9355" w:leader="none"/>
      </w:tabs>
    </w:pPr>
    <w:rPr>
      <w:sz w:val="28"/>
      <w:szCs w:val="20"/>
    </w:rPr>
  </w:style>
  <w:style w:type="character" w:styleId="877" w:customStyle="1">
    <w:name w:val="Нижний колонтитул Знак"/>
    <w:link w:val="876"/>
    <w:rPr>
      <w:sz w:val="28"/>
    </w:rPr>
  </w:style>
  <w:style w:type="paragraph" w:styleId="878">
    <w:name w:val="Body Text"/>
    <w:basedOn w:val="695"/>
    <w:link w:val="879"/>
    <w:pPr>
      <w:ind w:firstLine="709"/>
      <w:jc w:val="both"/>
      <w:spacing w:line="360" w:lineRule="exact"/>
    </w:pPr>
    <w:rPr>
      <w:sz w:val="28"/>
    </w:rPr>
  </w:style>
  <w:style w:type="character" w:styleId="879" w:customStyle="1">
    <w:name w:val="Основной текст Знак"/>
    <w:link w:val="878"/>
    <w:rPr>
      <w:sz w:val="28"/>
      <w:szCs w:val="24"/>
    </w:rPr>
  </w:style>
  <w:style w:type="paragraph" w:styleId="880">
    <w:name w:val="List Paragraph"/>
    <w:basedOn w:val="695"/>
    <w:link w:val="888"/>
    <w:uiPriority w:val="34"/>
    <w:qFormat/>
    <w:pPr>
      <w:contextualSpacing/>
      <w:ind w:left="720"/>
    </w:pPr>
    <w:rPr>
      <w:sz w:val="28"/>
      <w:szCs w:val="20"/>
    </w:rPr>
  </w:style>
  <w:style w:type="paragraph" w:styleId="881">
    <w:name w:val="Header"/>
    <w:basedOn w:val="695"/>
    <w:link w:val="882"/>
    <w:pPr>
      <w:tabs>
        <w:tab w:val="center" w:pos="4677" w:leader="none"/>
        <w:tab w:val="right" w:pos="9355" w:leader="none"/>
      </w:tabs>
    </w:pPr>
  </w:style>
  <w:style w:type="character" w:styleId="882" w:customStyle="1">
    <w:name w:val="Верхний колонтитул Знак"/>
    <w:basedOn w:val="705"/>
    <w:link w:val="881"/>
    <w:rPr>
      <w:sz w:val="24"/>
      <w:szCs w:val="24"/>
    </w:rPr>
  </w:style>
  <w:style w:type="paragraph" w:styleId="883" w:customStyle="1">
    <w:name w:val="ConsPlusNormal"/>
    <w:link w:val="884"/>
    <w:pPr>
      <w:ind w:firstLine="720"/>
      <w:widowControl w:val="off"/>
    </w:pPr>
    <w:rPr>
      <w:rFonts w:ascii="Arial" w:hAnsi="Arial" w:cs="Arial"/>
    </w:rPr>
  </w:style>
  <w:style w:type="character" w:styleId="884" w:customStyle="1">
    <w:name w:val="ConsPlusNormal Знак"/>
    <w:basedOn w:val="705"/>
    <w:link w:val="883"/>
    <w:rPr>
      <w:rFonts w:ascii="Arial" w:hAnsi="Arial" w:cs="Arial"/>
    </w:rPr>
  </w:style>
  <w:style w:type="paragraph" w:styleId="885">
    <w:name w:val="Balloon Text"/>
    <w:basedOn w:val="695"/>
    <w:link w:val="886"/>
    <w:rPr>
      <w:rFonts w:ascii="Tahoma" w:hAnsi="Tahoma" w:cs="Tahoma"/>
      <w:sz w:val="16"/>
      <w:szCs w:val="16"/>
    </w:rPr>
  </w:style>
  <w:style w:type="character" w:styleId="886" w:customStyle="1">
    <w:name w:val="Текст выноски Знак"/>
    <w:basedOn w:val="705"/>
    <w:link w:val="885"/>
    <w:rPr>
      <w:rFonts w:ascii="Tahoma" w:hAnsi="Tahoma" w:cs="Tahoma"/>
      <w:sz w:val="16"/>
      <w:szCs w:val="16"/>
    </w:rPr>
  </w:style>
  <w:style w:type="paragraph" w:styleId="887" w:customStyle="1">
    <w:name w:val="ConsPlusTitle"/>
    <w:pPr>
      <w:widowControl w:val="off"/>
    </w:pPr>
    <w:rPr>
      <w:rFonts w:ascii="Arial" w:hAnsi="Arial" w:cs="Arial"/>
      <w:b/>
      <w:bCs/>
    </w:rPr>
  </w:style>
  <w:style w:type="character" w:styleId="888" w:customStyle="1">
    <w:name w:val="Абзац списка Знак"/>
    <w:link w:val="880"/>
    <w:uiPriority w:val="34"/>
    <w:rPr>
      <w:sz w:val="28"/>
    </w:rPr>
  </w:style>
  <w:style w:type="paragraph" w:styleId="889" w:customStyle="1">
    <w:name w:val="Нормальный (таблица)"/>
    <w:basedOn w:val="695"/>
    <w:next w:val="695"/>
    <w:uiPriority w:val="99"/>
    <w:pPr>
      <w:jc w:val="both"/>
      <w:widowControl w:val="off"/>
    </w:pPr>
    <w:rPr>
      <w:rFonts w:ascii="Arial" w:hAnsi="Arial" w:cs="Arial" w:eastAsiaTheme="minorEastAsia"/>
    </w:rPr>
  </w:style>
  <w:style w:type="paragraph" w:styleId="890" w:customStyle="1">
    <w:name w:val="заголовок 1"/>
    <w:basedOn w:val="695"/>
    <w:next w:val="695"/>
    <w:uiPriority w:val="99"/>
    <w:pPr>
      <w:jc w:val="center"/>
      <w:keepNext/>
      <w:outlineLvl w:val="0"/>
    </w:pPr>
    <w:rPr>
      <w:i/>
      <w:iCs/>
      <w:sz w:val="28"/>
      <w:szCs w:val="28"/>
    </w:rPr>
  </w:style>
  <w:style w:type="table" w:styleId="891">
    <w:name w:val="Table Grid"/>
    <w:basedOn w:val="706"/>
    <w:rPr>
      <w:rFonts w:asciiTheme="minorHAnsi" w:hAnsiTheme="minorHAnsi"/>
      <w:color w:val="000000"/>
      <w:sz w:val="22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15477D0DE2D6A2F5F31F77CFA6645BC11F72A22D8357AAD0EC34A8F01B06A8F3FEAC534C49296427575763I7B8K" TargetMode="External"/><Relationship Id="rId12" Type="http://schemas.openxmlformats.org/officeDocument/2006/relationships/hyperlink" Target="consultantplus://offline/ref=50AA6EDE8728B176EDE1EFE14D2A9832D89286D69D878B3EA0B90B5251V4R6F" TargetMode="External"/><Relationship Id="rId13" Type="http://schemas.openxmlformats.org/officeDocument/2006/relationships/hyperlink" Target="consultantplus://offline/ref=D231EEE0C2764634FCA065C9F230FE34362A37A76B346417C8BAC15F5084A61BrBnCC" TargetMode="External"/><Relationship Id="rId14" Type="http://schemas.openxmlformats.org/officeDocument/2006/relationships/hyperlink" Target="consultantplus://offline/ref=38578BC87B8BE76C6D26D30348A769001393D0395D0E470BC2687E4CC5GDpCL" TargetMode="External"/><Relationship Id="rId15" Type="http://schemas.openxmlformats.org/officeDocument/2006/relationships/hyperlink" Target="consultantplus://offline/ref=38578BC87B8BE76C6D26D30348A769001390D73E5003470BC2687E4CC5GDpCL" TargetMode="External"/><Relationship Id="rId16" Type="http://schemas.openxmlformats.org/officeDocument/2006/relationships/hyperlink" Target="consultantplus://offline/ref=38578BC87B8BE76C6D26D30348A769001393D035540C470BC2687E4CC5GDpCL" TargetMode="External"/><Relationship Id="rId17" Type="http://schemas.openxmlformats.org/officeDocument/2006/relationships/hyperlink" Target="consultantplus://offline/ref=38578BC87B8BE76C6D26D30348A769001390D73E5003470BC2687E4CC5DCE6CD87EF294D3F3E8F4BGDp5L" TargetMode="External"/><Relationship Id="rId18" Type="http://schemas.openxmlformats.org/officeDocument/2006/relationships/hyperlink" Target="consultantplus://offline/ref=38578BC87B8BE76C6D26D30348A769001390D73E5003470BC2687E4CC5DCE6CD87EF294D3F3E8F4BGDp2L" TargetMode="External"/><Relationship Id="rId19" Type="http://schemas.openxmlformats.org/officeDocument/2006/relationships/hyperlink" Target="consultantplus://offline/ref=38578BC87B8BE76C6D26D30348A769001390D73E5003470BC2687E4CC5DCE6CD87EF294D3F3E8F4BGDp5L" TargetMode="External"/><Relationship Id="rId20" Type="http://schemas.openxmlformats.org/officeDocument/2006/relationships/hyperlink" Target="consultantplus://offline/ref=38578BC87B8BE76C6D26D30348A769001390D73E5003470BC2687E4CC5DCE6CD87EF294D3F3E8F4BGDp2L" TargetMode="External"/><Relationship Id="rId21" Type="http://schemas.openxmlformats.org/officeDocument/2006/relationships/hyperlink" Target="consultantplus://offline/ref=38578BC87B8BE76C6D26D30348A769001390D73E5003470BC2687E4CC5DCE6CD87EF294D3F3E8F4BGDp5L" TargetMode="External"/><Relationship Id="rId22" Type="http://schemas.openxmlformats.org/officeDocument/2006/relationships/hyperlink" Target="consultantplus://offline/ref=38578BC87B8BE76C6D26D30348A769001390D73E5003470BC2687E4CC5DCE6CD87EF294D3F3E8F4BGDp2L" TargetMode="External"/><Relationship Id="rId23" Type="http://schemas.openxmlformats.org/officeDocument/2006/relationships/hyperlink" Target="consultantplus://offline/ref=38578BC87B8BE76C6D26D30348A769001390D73E5003470BC2687E4CC5DCE6CD87EF294D3F3E8F4BGDp5L" TargetMode="External"/><Relationship Id="rId24" Type="http://schemas.openxmlformats.org/officeDocument/2006/relationships/hyperlink" Target="consultantplus://offline/ref=38578BC87B8BE76C6D26D30348A769001390D73E5003470BC2687E4CC5DCE6CD87EF294D3F3E8F4BGDp2L" TargetMode="External"/><Relationship Id="rId25" Type="http://schemas.openxmlformats.org/officeDocument/2006/relationships/hyperlink" Target="consultantplus://offline/ref=38578BC87B8BE76C6D26D30348A769001392D43D5C0A470BC2687E4CC5GDpC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B35D5-5C50-4089-BFA7-94F6BB5C9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CROC Inc.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revision>66</cp:revision>
  <dcterms:created xsi:type="dcterms:W3CDTF">2021-09-24T05:30:00Z</dcterms:created>
  <dcterms:modified xsi:type="dcterms:W3CDTF">2025-06-20T09:39:10Z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предварительном согласовании предоставления земельного участка для проведения работ, связанных с пользованием недрами – «трубопроводный транспорт»  по объекту «Строительство объектов обустройства скважины № 252 Софроницкого месторождения»</vt:lpwstr>
  </property>
  <property fmtid="{D5CDD505-2E9C-101B-9397-08002B2CF9AE}" pid="3" name="reg_date">
    <vt:lpwstr>Дата рег.</vt:lpwstr>
  </property>
  <property fmtid="{D5CDD505-2E9C-101B-9397-08002B2CF9AE}" pid="4" name="reg_number">
    <vt:lpwstr>Рег. номер</vt:lpwstr>
  </property>
  <property fmtid="{D5CDD505-2E9C-101B-9397-08002B2CF9AE}" pid="5" name="r_object_id">
    <vt:lpwstr>09000001a2ea0ce8</vt:lpwstr>
  </property>
  <property fmtid="{D5CDD505-2E9C-101B-9397-08002B2CF9AE}" pid="6" name="r_version_label">
    <vt:lpwstr>1.1</vt:lpwstr>
  </property>
  <property fmtid="{D5CDD505-2E9C-101B-9397-08002B2CF9AE}" pid="7" name="sign_flag">
    <vt:lpwstr>Подписан ЭЦП</vt:lpwstr>
  </property>
</Properties>
</file>